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B0" w:rsidRPr="00FA48EE" w:rsidRDefault="00CC35B0" w:rsidP="0041432F">
      <w:pPr>
        <w:spacing w:before="120" w:after="120"/>
        <w:jc w:val="both"/>
        <w:rPr>
          <w:rFonts w:ascii="Arial" w:hAnsi="Arial" w:cs="Arial"/>
          <w:b/>
          <w:sz w:val="28"/>
          <w:szCs w:val="28"/>
        </w:rPr>
      </w:pPr>
      <w:bookmarkStart w:id="0" w:name="_GoBack"/>
      <w:bookmarkEnd w:id="0"/>
      <w:r w:rsidRPr="00FA48EE">
        <w:rPr>
          <w:rFonts w:ascii="Arial" w:hAnsi="Arial" w:cs="Arial"/>
          <w:b/>
          <w:sz w:val="28"/>
          <w:szCs w:val="28"/>
        </w:rPr>
        <w:t>Data Protection and Data Management Outline</w:t>
      </w:r>
      <w:r w:rsidR="00BE76D3" w:rsidRPr="00FA48EE">
        <w:rPr>
          <w:rFonts w:ascii="Arial" w:hAnsi="Arial" w:cs="Arial"/>
          <w:b/>
          <w:sz w:val="28"/>
          <w:szCs w:val="28"/>
        </w:rPr>
        <w:t xml:space="preserve"> Table</w:t>
      </w:r>
    </w:p>
    <w:p w:rsidR="003519D5" w:rsidRPr="00FA48EE" w:rsidRDefault="00EF2D93" w:rsidP="0041432F">
      <w:pPr>
        <w:spacing w:before="120" w:after="120"/>
        <w:jc w:val="both"/>
        <w:rPr>
          <w:rFonts w:ascii="Arial" w:hAnsi="Arial" w:cs="Arial"/>
          <w:b/>
          <w:i/>
          <w:color w:val="FF0000"/>
          <w:sz w:val="20"/>
          <w:szCs w:val="20"/>
        </w:rPr>
      </w:pPr>
      <w:r w:rsidRPr="00FA48EE">
        <w:rPr>
          <w:rFonts w:ascii="Arial" w:hAnsi="Arial" w:cs="Arial"/>
          <w:b/>
          <w:i/>
          <w:color w:val="FF0000"/>
          <w:sz w:val="20"/>
          <w:szCs w:val="20"/>
        </w:rPr>
        <w:t xml:space="preserve">This </w:t>
      </w:r>
      <w:r w:rsidR="00CC35B0" w:rsidRPr="00FA48EE">
        <w:rPr>
          <w:rFonts w:ascii="Arial" w:hAnsi="Arial" w:cs="Arial"/>
          <w:b/>
          <w:i/>
          <w:color w:val="FF0000"/>
          <w:sz w:val="20"/>
          <w:szCs w:val="20"/>
        </w:rPr>
        <w:t>outline document</w:t>
      </w:r>
      <w:r w:rsidRPr="00FA48EE">
        <w:rPr>
          <w:rFonts w:ascii="Arial" w:hAnsi="Arial" w:cs="Arial"/>
          <w:b/>
          <w:i/>
          <w:color w:val="FF0000"/>
          <w:sz w:val="20"/>
          <w:szCs w:val="20"/>
        </w:rPr>
        <w:t xml:space="preserve"> needs to be amended as required to suit </w:t>
      </w:r>
      <w:r w:rsidR="00131F3E" w:rsidRPr="00FA48EE">
        <w:rPr>
          <w:rFonts w:ascii="Arial" w:hAnsi="Arial" w:cs="Arial"/>
          <w:b/>
          <w:i/>
          <w:color w:val="FF0000"/>
          <w:sz w:val="20"/>
          <w:szCs w:val="20"/>
        </w:rPr>
        <w:t>your</w:t>
      </w:r>
      <w:r w:rsidR="009E7825" w:rsidRPr="00FA48EE">
        <w:rPr>
          <w:rFonts w:ascii="Arial" w:hAnsi="Arial" w:cs="Arial"/>
          <w:b/>
          <w:i/>
          <w:color w:val="FF0000"/>
          <w:sz w:val="20"/>
          <w:szCs w:val="20"/>
        </w:rPr>
        <w:t xml:space="preserve"> </w:t>
      </w:r>
      <w:r w:rsidR="00DD5299" w:rsidRPr="00FA48EE">
        <w:rPr>
          <w:rFonts w:ascii="Arial" w:hAnsi="Arial" w:cs="Arial"/>
          <w:b/>
          <w:i/>
          <w:color w:val="FF0000"/>
          <w:sz w:val="20"/>
          <w:szCs w:val="20"/>
        </w:rPr>
        <w:t>specific needs</w:t>
      </w:r>
      <w:r w:rsidR="00F0628B" w:rsidRPr="00FA48EE">
        <w:rPr>
          <w:rFonts w:ascii="Arial" w:hAnsi="Arial" w:cs="Arial"/>
          <w:b/>
          <w:i/>
          <w:color w:val="FF0000"/>
          <w:sz w:val="20"/>
          <w:szCs w:val="20"/>
        </w:rPr>
        <w:t>, it can be used to allow drafting of a data protection policy and the associated management process to be used</w:t>
      </w:r>
    </w:p>
    <w:p w:rsidR="00DD5299" w:rsidRPr="00FA48EE" w:rsidRDefault="00DD5299" w:rsidP="0041432F">
      <w:pPr>
        <w:pStyle w:val="ListParagraph"/>
        <w:numPr>
          <w:ilvl w:val="0"/>
          <w:numId w:val="3"/>
        </w:numPr>
        <w:spacing w:before="120" w:after="120"/>
        <w:jc w:val="both"/>
        <w:rPr>
          <w:rFonts w:ascii="Arial" w:hAnsi="Arial" w:cs="Arial"/>
          <w:i/>
          <w:color w:val="FF0000"/>
          <w:sz w:val="20"/>
          <w:szCs w:val="20"/>
        </w:rPr>
      </w:pPr>
      <w:r w:rsidRPr="00FA48EE">
        <w:rPr>
          <w:rFonts w:ascii="Arial" w:hAnsi="Arial" w:cs="Arial"/>
          <w:i/>
          <w:color w:val="FF0000"/>
          <w:sz w:val="20"/>
          <w:szCs w:val="20"/>
        </w:rPr>
        <w:t>Change the logo in the Header to your own</w:t>
      </w:r>
    </w:p>
    <w:p w:rsidR="002542AB" w:rsidRPr="00FA48EE" w:rsidRDefault="003519D5" w:rsidP="0041432F">
      <w:pPr>
        <w:pStyle w:val="ListParagraph"/>
        <w:numPr>
          <w:ilvl w:val="0"/>
          <w:numId w:val="3"/>
        </w:numPr>
        <w:spacing w:before="120" w:after="120"/>
        <w:jc w:val="both"/>
        <w:rPr>
          <w:rFonts w:ascii="Arial" w:hAnsi="Arial" w:cs="Arial"/>
          <w:i/>
          <w:color w:val="FF0000"/>
          <w:sz w:val="20"/>
          <w:szCs w:val="20"/>
        </w:rPr>
      </w:pPr>
      <w:r w:rsidRPr="00FA48EE">
        <w:rPr>
          <w:rFonts w:ascii="Arial" w:hAnsi="Arial" w:cs="Arial"/>
          <w:i/>
          <w:color w:val="FF0000"/>
          <w:sz w:val="20"/>
          <w:szCs w:val="20"/>
        </w:rPr>
        <w:t xml:space="preserve">Use the </w:t>
      </w:r>
      <w:r w:rsidRPr="00FA48EE">
        <w:rPr>
          <w:rFonts w:ascii="Arial" w:hAnsi="Arial" w:cs="Arial"/>
          <w:i/>
          <w:color w:val="FF0000"/>
          <w:sz w:val="20"/>
          <w:szCs w:val="20"/>
          <w:u w:val="single"/>
        </w:rPr>
        <w:t>select all</w:t>
      </w:r>
      <w:r w:rsidRPr="00FA48EE">
        <w:rPr>
          <w:rFonts w:ascii="Arial" w:hAnsi="Arial" w:cs="Arial"/>
          <w:i/>
          <w:color w:val="FF0000"/>
          <w:sz w:val="20"/>
          <w:szCs w:val="20"/>
        </w:rPr>
        <w:t xml:space="preserve"> then </w:t>
      </w:r>
      <w:r w:rsidRPr="00FA48EE">
        <w:rPr>
          <w:rFonts w:ascii="Arial" w:hAnsi="Arial" w:cs="Arial"/>
          <w:i/>
          <w:color w:val="FF0000"/>
          <w:sz w:val="20"/>
          <w:szCs w:val="20"/>
          <w:u w:val="single"/>
        </w:rPr>
        <w:t>replace all</w:t>
      </w:r>
      <w:r w:rsidRPr="00FA48EE">
        <w:rPr>
          <w:rFonts w:ascii="Arial" w:hAnsi="Arial" w:cs="Arial"/>
          <w:i/>
          <w:color w:val="FF0000"/>
          <w:sz w:val="20"/>
          <w:szCs w:val="20"/>
        </w:rPr>
        <w:t xml:space="preserve"> to amend the document for your NGB </w:t>
      </w:r>
    </w:p>
    <w:p w:rsidR="003519D5" w:rsidRPr="00FA48EE" w:rsidRDefault="009E7825" w:rsidP="0041432F">
      <w:pPr>
        <w:pStyle w:val="ListParagraph"/>
        <w:numPr>
          <w:ilvl w:val="0"/>
          <w:numId w:val="3"/>
        </w:numPr>
        <w:spacing w:before="120" w:after="120"/>
        <w:jc w:val="both"/>
        <w:rPr>
          <w:rFonts w:ascii="Arial" w:hAnsi="Arial" w:cs="Arial"/>
          <w:i/>
          <w:color w:val="FF0000"/>
          <w:sz w:val="20"/>
          <w:szCs w:val="20"/>
        </w:rPr>
      </w:pPr>
      <w:r w:rsidRPr="00FA48EE">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FA48EE">
        <w:rPr>
          <w:rFonts w:ascii="Arial" w:hAnsi="Arial" w:cs="Arial"/>
          <w:i/>
          <w:color w:val="FF0000"/>
          <w:sz w:val="20"/>
          <w:szCs w:val="20"/>
        </w:rPr>
        <w:t xml:space="preserve"> </w:t>
      </w:r>
    </w:p>
    <w:p w:rsidR="00EF2D93" w:rsidRPr="00FA48EE" w:rsidRDefault="009E7825" w:rsidP="0041432F">
      <w:pPr>
        <w:pStyle w:val="ListParagraph"/>
        <w:numPr>
          <w:ilvl w:val="0"/>
          <w:numId w:val="3"/>
        </w:numPr>
        <w:spacing w:before="120" w:after="120"/>
        <w:jc w:val="both"/>
        <w:rPr>
          <w:rFonts w:ascii="Arial" w:hAnsi="Arial" w:cs="Arial"/>
          <w:i/>
          <w:color w:val="FF0000"/>
          <w:sz w:val="20"/>
          <w:szCs w:val="20"/>
        </w:rPr>
      </w:pPr>
      <w:r w:rsidRPr="00FA48EE">
        <w:rPr>
          <w:rFonts w:ascii="Arial" w:hAnsi="Arial" w:cs="Arial"/>
          <w:i/>
          <w:color w:val="FF0000"/>
          <w:sz w:val="20"/>
          <w:szCs w:val="20"/>
        </w:rPr>
        <w:t>If your NGB is a charity your governing group</w:t>
      </w:r>
      <w:r w:rsidR="00C672D0" w:rsidRPr="00FA48EE">
        <w:rPr>
          <w:rFonts w:ascii="Arial" w:hAnsi="Arial" w:cs="Arial"/>
          <w:i/>
          <w:color w:val="FF0000"/>
          <w:sz w:val="20"/>
          <w:szCs w:val="20"/>
        </w:rPr>
        <w:t xml:space="preserve"> may be the Trustees or similar</w:t>
      </w:r>
    </w:p>
    <w:p w:rsidR="0063373D" w:rsidRPr="00FA48EE" w:rsidRDefault="005B610A">
      <w:pPr>
        <w:spacing w:after="200" w:line="276" w:lineRule="auto"/>
        <w:rPr>
          <w:rFonts w:ascii="Arial" w:hAnsi="Arial" w:cs="Arial"/>
          <w:i/>
          <w:color w:val="FF0000"/>
          <w:sz w:val="20"/>
          <w:szCs w:val="20"/>
        </w:rPr>
      </w:pPr>
      <w:r w:rsidRPr="00FA48EE">
        <w:rPr>
          <w:rFonts w:ascii="Arial" w:hAnsi="Arial" w:cs="Arial"/>
          <w:i/>
          <w:color w:val="FF0000"/>
          <w:sz w:val="20"/>
          <w:szCs w:val="20"/>
        </w:rPr>
        <w:t xml:space="preserve">The table below briefly outlines why data protection and data management is important. It is not a requirement for a not for profit organisation to be registered with the Information Commissioner’s Office but it is good practice and shows your members and stakeholders that your organisation is </w:t>
      </w:r>
      <w:r w:rsidR="00362CE1" w:rsidRPr="00FA48EE">
        <w:rPr>
          <w:rFonts w:ascii="Arial" w:hAnsi="Arial" w:cs="Arial"/>
          <w:i/>
          <w:color w:val="FF0000"/>
          <w:sz w:val="20"/>
          <w:szCs w:val="20"/>
        </w:rPr>
        <w:t xml:space="preserve">serious about the management of </w:t>
      </w:r>
      <w:r w:rsidR="005F265B">
        <w:rPr>
          <w:rFonts w:ascii="Arial" w:hAnsi="Arial" w:cs="Arial"/>
          <w:i/>
          <w:color w:val="FF0000"/>
          <w:sz w:val="20"/>
          <w:szCs w:val="20"/>
        </w:rPr>
        <w:t xml:space="preserve">the </w:t>
      </w:r>
      <w:r w:rsidR="00362CE1" w:rsidRPr="00FA48EE">
        <w:rPr>
          <w:rFonts w:ascii="Arial" w:hAnsi="Arial" w:cs="Arial"/>
          <w:i/>
          <w:color w:val="FF0000"/>
          <w:sz w:val="20"/>
          <w:szCs w:val="20"/>
        </w:rPr>
        <w:t>data it holds.</w:t>
      </w:r>
      <w:r w:rsidR="0063373D" w:rsidRPr="00FA48EE">
        <w:rPr>
          <w:rFonts w:ascii="Arial" w:hAnsi="Arial" w:cs="Arial"/>
          <w:i/>
          <w:color w:val="FF0000"/>
          <w:sz w:val="20"/>
          <w:szCs w:val="20"/>
        </w:rPr>
        <w:br w:type="page"/>
      </w:r>
    </w:p>
    <w:tbl>
      <w:tblPr>
        <w:tblStyle w:val="TableGrid"/>
        <w:tblW w:w="14312" w:type="dxa"/>
        <w:tblLook w:val="04A0" w:firstRow="1" w:lastRow="0" w:firstColumn="1" w:lastColumn="0" w:noHBand="0" w:noVBand="1"/>
      </w:tblPr>
      <w:tblGrid>
        <w:gridCol w:w="2830"/>
        <w:gridCol w:w="5245"/>
        <w:gridCol w:w="6237"/>
      </w:tblGrid>
      <w:tr w:rsidR="00CC35B0" w:rsidRPr="00FA48EE" w:rsidTr="009230E7">
        <w:trPr>
          <w:cantSplit/>
          <w:trHeight w:val="669"/>
          <w:tblHeader/>
        </w:trPr>
        <w:tc>
          <w:tcPr>
            <w:tcW w:w="14312" w:type="dxa"/>
            <w:gridSpan w:val="3"/>
            <w:shd w:val="clear" w:color="auto" w:fill="8DB3E2" w:themeFill="text2" w:themeFillTint="66"/>
            <w:vAlign w:val="center"/>
          </w:tcPr>
          <w:p w:rsidR="00CC35B0" w:rsidRPr="00FA48EE" w:rsidRDefault="00CC35B0" w:rsidP="009230E7">
            <w:pPr>
              <w:jc w:val="center"/>
              <w:rPr>
                <w:rFonts w:ascii="Arial" w:hAnsi="Arial" w:cs="Arial"/>
                <w:b/>
                <w:sz w:val="12"/>
                <w:szCs w:val="12"/>
              </w:rPr>
            </w:pPr>
          </w:p>
          <w:p w:rsidR="00CC35B0" w:rsidRPr="00FA48EE" w:rsidRDefault="00CC35B0" w:rsidP="0063373D">
            <w:pPr>
              <w:jc w:val="center"/>
              <w:rPr>
                <w:rFonts w:ascii="Arial" w:hAnsi="Arial" w:cs="Arial"/>
                <w:b/>
              </w:rPr>
            </w:pPr>
            <w:r w:rsidRPr="00FA48EE">
              <w:rPr>
                <w:rFonts w:ascii="Arial" w:hAnsi="Arial" w:cs="Arial"/>
                <w:b/>
              </w:rPr>
              <w:t>Data Protection and Management</w:t>
            </w:r>
          </w:p>
        </w:tc>
      </w:tr>
      <w:tr w:rsidR="00CC35B0" w:rsidRPr="00FA48EE" w:rsidTr="00A65977">
        <w:trPr>
          <w:trHeight w:val="444"/>
        </w:trPr>
        <w:tc>
          <w:tcPr>
            <w:tcW w:w="14312" w:type="dxa"/>
            <w:gridSpan w:val="3"/>
            <w:vAlign w:val="center"/>
          </w:tcPr>
          <w:p w:rsidR="00CC35B0" w:rsidRPr="00FA48EE" w:rsidRDefault="00CC35B0" w:rsidP="00A65977">
            <w:pPr>
              <w:rPr>
                <w:rFonts w:ascii="Arial" w:hAnsi="Arial" w:cs="Arial"/>
              </w:rPr>
            </w:pPr>
            <w:r w:rsidRPr="00FA48EE">
              <w:rPr>
                <w:rFonts w:ascii="Arial" w:hAnsi="Arial" w:cs="Arial"/>
                <w:b/>
              </w:rPr>
              <w:t>Policy information</w:t>
            </w:r>
          </w:p>
        </w:tc>
      </w:tr>
      <w:tr w:rsidR="00CC35B0" w:rsidRPr="00FA48EE" w:rsidTr="00A65977">
        <w:trPr>
          <w:trHeight w:val="422"/>
        </w:trPr>
        <w:tc>
          <w:tcPr>
            <w:tcW w:w="2830" w:type="dxa"/>
            <w:shd w:val="clear" w:color="auto" w:fill="D9D9D9" w:themeFill="background1" w:themeFillShade="D9"/>
            <w:vAlign w:val="center"/>
          </w:tcPr>
          <w:p w:rsidR="00CC35B0" w:rsidRPr="00FA48EE" w:rsidRDefault="00CC35B0" w:rsidP="00A65977">
            <w:pPr>
              <w:rPr>
                <w:rFonts w:ascii="Arial" w:hAnsi="Arial" w:cs="Arial"/>
                <w:b/>
              </w:rPr>
            </w:pPr>
            <w:r w:rsidRPr="00FA48EE">
              <w:rPr>
                <w:rFonts w:ascii="Arial" w:hAnsi="Arial" w:cs="Arial"/>
                <w:b/>
              </w:rPr>
              <w:t>Organisation</w:t>
            </w:r>
            <w:r w:rsidR="00431888">
              <w:rPr>
                <w:rFonts w:ascii="Arial" w:hAnsi="Arial" w:cs="Arial"/>
                <w:b/>
              </w:rPr>
              <w:t>:</w:t>
            </w:r>
          </w:p>
        </w:tc>
        <w:tc>
          <w:tcPr>
            <w:tcW w:w="5245" w:type="dxa"/>
            <w:shd w:val="clear" w:color="auto" w:fill="D9D9D9" w:themeFill="background1" w:themeFillShade="D9"/>
            <w:vAlign w:val="center"/>
          </w:tcPr>
          <w:p w:rsidR="00CC35B0" w:rsidRPr="00013CD2" w:rsidRDefault="00CC35B0" w:rsidP="00A65977">
            <w:pPr>
              <w:rPr>
                <w:rFonts w:ascii="Arial" w:hAnsi="Arial" w:cs="Arial"/>
                <w:b/>
                <w:color w:val="E36C0A" w:themeColor="accent6" w:themeShade="BF"/>
              </w:rPr>
            </w:pPr>
            <w:r w:rsidRPr="00013CD2">
              <w:rPr>
                <w:rFonts w:ascii="Arial" w:hAnsi="Arial" w:cs="Arial"/>
                <w:b/>
                <w:color w:val="E36C0A" w:themeColor="accent6" w:themeShade="BF"/>
              </w:rPr>
              <w:t>Insert NGB Name</w:t>
            </w:r>
          </w:p>
        </w:tc>
        <w:tc>
          <w:tcPr>
            <w:tcW w:w="6237" w:type="dxa"/>
            <w:shd w:val="clear" w:color="auto" w:fill="D9D9D9" w:themeFill="background1" w:themeFillShade="D9"/>
            <w:vAlign w:val="center"/>
          </w:tcPr>
          <w:p w:rsidR="00CC35B0" w:rsidRPr="00FA48EE" w:rsidRDefault="00CC35B0" w:rsidP="00A65977">
            <w:pPr>
              <w:rPr>
                <w:rFonts w:ascii="Arial" w:hAnsi="Arial" w:cs="Arial"/>
                <w:b/>
              </w:rPr>
            </w:pPr>
            <w:r w:rsidRPr="00FA48EE">
              <w:rPr>
                <w:rFonts w:ascii="Arial" w:hAnsi="Arial" w:cs="Arial"/>
                <w:b/>
              </w:rPr>
              <w:t>Additional notes</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Scope of policy</w:t>
            </w:r>
            <w:r w:rsidR="00431888">
              <w:rPr>
                <w:rFonts w:ascii="Arial" w:hAnsi="Arial" w:cs="Arial"/>
                <w:b/>
              </w:rPr>
              <w:t>:</w:t>
            </w:r>
          </w:p>
        </w:tc>
        <w:tc>
          <w:tcPr>
            <w:tcW w:w="5245" w:type="dxa"/>
          </w:tcPr>
          <w:p w:rsidR="00CC35B0" w:rsidRPr="00FA48EE" w:rsidRDefault="00CC35B0" w:rsidP="009230E7">
            <w:pPr>
              <w:rPr>
                <w:rFonts w:ascii="Arial" w:hAnsi="Arial" w:cs="Arial"/>
              </w:rPr>
            </w:pPr>
            <w:r w:rsidRPr="00FA48EE">
              <w:rPr>
                <w:rFonts w:ascii="Arial" w:hAnsi="Arial" w:cs="Arial"/>
              </w:rPr>
              <w:t>Decide on the scope of the policy</w:t>
            </w:r>
          </w:p>
          <w:p w:rsidR="00CC35B0" w:rsidRPr="00FA48EE" w:rsidRDefault="00CC35B0" w:rsidP="009230E7">
            <w:pPr>
              <w:rPr>
                <w:rFonts w:ascii="Arial" w:hAnsi="Arial" w:cs="Arial"/>
              </w:rPr>
            </w:pPr>
            <w:r w:rsidRPr="00FA48EE">
              <w:rPr>
                <w:rFonts w:ascii="Arial" w:hAnsi="Arial" w:cs="Arial"/>
              </w:rPr>
              <w:t xml:space="preserve">e.g. </w:t>
            </w:r>
            <w:r w:rsidR="00CB0C86" w:rsidRPr="00FA48EE">
              <w:rPr>
                <w:rFonts w:ascii="Arial" w:hAnsi="Arial" w:cs="Arial"/>
              </w:rPr>
              <w:t>The</w:t>
            </w:r>
            <w:r w:rsidRPr="00FA48EE">
              <w:rPr>
                <w:rFonts w:ascii="Arial" w:hAnsi="Arial" w:cs="Arial"/>
              </w:rPr>
              <w:t xml:space="preserve"> policy as adopted applies to all officers, committee members, coaches, team managers and volunteers </w:t>
            </w:r>
          </w:p>
        </w:tc>
        <w:tc>
          <w:tcPr>
            <w:tcW w:w="6237" w:type="dxa"/>
          </w:tcPr>
          <w:p w:rsidR="00CC35B0" w:rsidRPr="00FA48EE" w:rsidRDefault="00CC35B0" w:rsidP="00A343E1">
            <w:pPr>
              <w:rPr>
                <w:rFonts w:ascii="Arial" w:hAnsi="Arial" w:cs="Arial"/>
              </w:rPr>
            </w:pPr>
            <w:r w:rsidRPr="00FA48EE">
              <w:rPr>
                <w:rFonts w:ascii="Arial" w:hAnsi="Arial" w:cs="Arial"/>
                <w:color w:val="FF0000"/>
              </w:rPr>
              <w:t>Amend</w:t>
            </w:r>
            <w:r w:rsidR="00CB0C86" w:rsidRPr="00FA48EE">
              <w:rPr>
                <w:rFonts w:ascii="Arial" w:hAnsi="Arial" w:cs="Arial"/>
                <w:color w:val="FF0000"/>
              </w:rPr>
              <w:t xml:space="preserve"> the</w:t>
            </w:r>
            <w:r w:rsidRPr="00FA48EE">
              <w:rPr>
                <w:rFonts w:ascii="Arial" w:hAnsi="Arial" w:cs="Arial"/>
                <w:color w:val="FF0000"/>
              </w:rPr>
              <w:t xml:space="preserve"> list of people as require</w:t>
            </w:r>
            <w:r w:rsidR="00A343E1">
              <w:rPr>
                <w:rFonts w:ascii="Arial" w:hAnsi="Arial" w:cs="Arial"/>
                <w:color w:val="FF0000"/>
              </w:rPr>
              <w:t xml:space="preserve">d to suit specific needs of NGB, </w:t>
            </w:r>
            <w:r w:rsidRPr="00FA48EE">
              <w:rPr>
                <w:rFonts w:ascii="Arial" w:hAnsi="Arial" w:cs="Arial"/>
                <w:color w:val="FF0000"/>
              </w:rPr>
              <w:t>include employees if appropriate – remember to link to employee handbook and any other handbooks or policies that are impacted by data management</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Policy operational date</w:t>
            </w:r>
            <w:r w:rsidR="00431888">
              <w:rPr>
                <w:rFonts w:ascii="Arial" w:hAnsi="Arial" w:cs="Arial"/>
                <w:b/>
              </w:rPr>
              <w:t>:</w:t>
            </w:r>
          </w:p>
        </w:tc>
        <w:tc>
          <w:tcPr>
            <w:tcW w:w="5245" w:type="dxa"/>
          </w:tcPr>
          <w:p w:rsidR="00CC35B0" w:rsidRPr="00FA48EE" w:rsidRDefault="00CB0C86" w:rsidP="009230E7">
            <w:pPr>
              <w:rPr>
                <w:rFonts w:ascii="Arial" w:hAnsi="Arial" w:cs="Arial"/>
              </w:rPr>
            </w:pPr>
            <w:r w:rsidRPr="00FA48EE">
              <w:rPr>
                <w:rFonts w:ascii="Arial" w:hAnsi="Arial" w:cs="Arial"/>
              </w:rPr>
              <w:t xml:space="preserve">Write the first draft and circulate for comment and then </w:t>
            </w:r>
            <w:r w:rsidR="005F265B">
              <w:rPr>
                <w:rFonts w:ascii="Arial" w:hAnsi="Arial" w:cs="Arial"/>
              </w:rPr>
              <w:t xml:space="preserve">final </w:t>
            </w:r>
            <w:r w:rsidRPr="00FA48EE">
              <w:rPr>
                <w:rFonts w:ascii="Arial" w:hAnsi="Arial" w:cs="Arial"/>
              </w:rPr>
              <w:t>Board approval.</w:t>
            </w:r>
          </w:p>
        </w:tc>
        <w:tc>
          <w:tcPr>
            <w:tcW w:w="6237" w:type="dxa"/>
          </w:tcPr>
          <w:p w:rsidR="00CC35B0" w:rsidRPr="00FA48EE" w:rsidRDefault="00F67EBD" w:rsidP="00A343E1">
            <w:pPr>
              <w:rPr>
                <w:rFonts w:ascii="Arial" w:hAnsi="Arial" w:cs="Arial"/>
              </w:rPr>
            </w:pPr>
            <w:r w:rsidRPr="00FA48EE">
              <w:rPr>
                <w:rFonts w:ascii="Arial" w:hAnsi="Arial" w:cs="Arial"/>
              </w:rPr>
              <w:t>Board</w:t>
            </w:r>
            <w:r w:rsidR="00CB0C86" w:rsidRPr="00FA48EE">
              <w:rPr>
                <w:rFonts w:ascii="Arial" w:hAnsi="Arial" w:cs="Arial"/>
              </w:rPr>
              <w:t xml:space="preserve"> members to return comments </w:t>
            </w:r>
            <w:r w:rsidR="00A343E1">
              <w:rPr>
                <w:rFonts w:ascii="Arial" w:hAnsi="Arial" w:cs="Arial"/>
              </w:rPr>
              <w:t xml:space="preserve">- </w:t>
            </w:r>
            <w:r w:rsidR="00CB0C86" w:rsidRPr="00FA48EE">
              <w:rPr>
                <w:rFonts w:ascii="Arial" w:hAnsi="Arial" w:cs="Arial"/>
                <w:i/>
                <w:color w:val="FF0000"/>
              </w:rPr>
              <w:t>insert name and date</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 xml:space="preserve">Date approved by the </w:t>
            </w:r>
            <w:r w:rsidR="00F67EBD" w:rsidRPr="00FA48EE">
              <w:rPr>
                <w:rFonts w:ascii="Arial" w:hAnsi="Arial" w:cs="Arial"/>
                <w:b/>
              </w:rPr>
              <w:t>Board</w:t>
            </w:r>
            <w:r w:rsidR="00431888">
              <w:rPr>
                <w:rFonts w:ascii="Arial" w:hAnsi="Arial" w:cs="Arial"/>
                <w:b/>
              </w:rPr>
              <w:t>:</w:t>
            </w:r>
          </w:p>
        </w:tc>
        <w:tc>
          <w:tcPr>
            <w:tcW w:w="5245" w:type="dxa"/>
          </w:tcPr>
          <w:p w:rsidR="00CC35B0" w:rsidRPr="00FA48EE" w:rsidRDefault="00CB0C86" w:rsidP="009230E7">
            <w:pPr>
              <w:rPr>
                <w:rFonts w:ascii="Arial" w:hAnsi="Arial" w:cs="Arial"/>
              </w:rPr>
            </w:pPr>
            <w:r w:rsidRPr="00FA48EE">
              <w:rPr>
                <w:rFonts w:ascii="Arial" w:hAnsi="Arial" w:cs="Arial"/>
              </w:rPr>
              <w:t xml:space="preserve">Once agreed set review date in the Board calendar and agree process to monitor the management of data including delegation of duty as appropriate </w:t>
            </w:r>
          </w:p>
        </w:tc>
        <w:tc>
          <w:tcPr>
            <w:tcW w:w="6237" w:type="dxa"/>
          </w:tcPr>
          <w:p w:rsidR="00CC35B0" w:rsidRPr="00FA48EE" w:rsidRDefault="00CB0C86" w:rsidP="005F265B">
            <w:pPr>
              <w:rPr>
                <w:rFonts w:ascii="Arial" w:hAnsi="Arial" w:cs="Arial"/>
                <w:color w:val="FF0000"/>
              </w:rPr>
            </w:pPr>
            <w:r w:rsidRPr="00FA48EE">
              <w:rPr>
                <w:rFonts w:ascii="Arial" w:hAnsi="Arial" w:cs="Arial"/>
                <w:color w:val="FF0000"/>
              </w:rPr>
              <w:t>CEO or other identified person checks the access to sensitive personal data</w:t>
            </w:r>
            <w:r w:rsidR="005F265B">
              <w:rPr>
                <w:rFonts w:ascii="Arial" w:hAnsi="Arial" w:cs="Arial"/>
                <w:color w:val="FF0000"/>
              </w:rPr>
              <w:t xml:space="preserve"> such as </w:t>
            </w:r>
            <w:r w:rsidRPr="00FA48EE">
              <w:rPr>
                <w:rFonts w:ascii="Arial" w:hAnsi="Arial" w:cs="Arial"/>
                <w:color w:val="FF0000"/>
              </w:rPr>
              <w:t xml:space="preserve">names and addresses of athletes etc. </w:t>
            </w:r>
            <w:r w:rsidR="005F265B">
              <w:rPr>
                <w:rFonts w:ascii="Arial" w:hAnsi="Arial" w:cs="Arial"/>
                <w:color w:val="FF0000"/>
              </w:rPr>
              <w:t xml:space="preserve">and ensures that it is </w:t>
            </w:r>
            <w:r w:rsidRPr="00FA48EE">
              <w:rPr>
                <w:rFonts w:ascii="Arial" w:hAnsi="Arial" w:cs="Arial"/>
                <w:color w:val="FF0000"/>
              </w:rPr>
              <w:t>only accessed by approved individuals</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Policy review date</w:t>
            </w:r>
            <w:r w:rsidR="00431888">
              <w:rPr>
                <w:rFonts w:ascii="Arial" w:hAnsi="Arial" w:cs="Arial"/>
                <w:b/>
              </w:rPr>
              <w:t>:</w:t>
            </w:r>
          </w:p>
        </w:tc>
        <w:tc>
          <w:tcPr>
            <w:tcW w:w="5245" w:type="dxa"/>
          </w:tcPr>
          <w:p w:rsidR="00CC35B0" w:rsidRPr="00FA48EE" w:rsidRDefault="00CC35B0" w:rsidP="009230E7">
            <w:pPr>
              <w:rPr>
                <w:rFonts w:ascii="Arial" w:hAnsi="Arial" w:cs="Arial"/>
              </w:rPr>
            </w:pPr>
            <w:r w:rsidRPr="00FA48EE">
              <w:rPr>
                <w:rFonts w:ascii="Arial" w:hAnsi="Arial" w:cs="Arial"/>
              </w:rPr>
              <w:t>Every 2nd year following its approval date or sooner if required</w:t>
            </w:r>
          </w:p>
        </w:tc>
        <w:tc>
          <w:tcPr>
            <w:tcW w:w="6237" w:type="dxa"/>
          </w:tcPr>
          <w:p w:rsidR="00CC35B0" w:rsidRPr="00FA48EE" w:rsidRDefault="00CC35B0" w:rsidP="009230E7">
            <w:pPr>
              <w:rPr>
                <w:rFonts w:ascii="Arial" w:hAnsi="Arial" w:cs="Arial"/>
                <w:color w:val="FF0000"/>
              </w:rPr>
            </w:pPr>
            <w:r w:rsidRPr="00FA48EE">
              <w:rPr>
                <w:rFonts w:ascii="Arial" w:hAnsi="Arial" w:cs="Arial"/>
              </w:rPr>
              <w:t>Responsibility of ……</w:t>
            </w:r>
            <w:r w:rsidRPr="00FA48EE">
              <w:rPr>
                <w:rFonts w:ascii="Arial" w:hAnsi="Arial" w:cs="Arial"/>
                <w:i/>
                <w:color w:val="FF0000"/>
              </w:rPr>
              <w:t>insert person</w:t>
            </w:r>
            <w:r w:rsidRPr="00FA48EE">
              <w:rPr>
                <w:rFonts w:ascii="Arial" w:hAnsi="Arial" w:cs="Arial"/>
                <w:color w:val="FF0000"/>
              </w:rPr>
              <w:t xml:space="preserve"> </w:t>
            </w:r>
            <w:r w:rsidR="00A343E1" w:rsidRPr="00A343E1">
              <w:rPr>
                <w:rFonts w:ascii="Arial" w:hAnsi="Arial" w:cs="Arial"/>
                <w:i/>
                <w:color w:val="FF0000"/>
              </w:rPr>
              <w:t>who will undertake the review and set it for Board approval</w:t>
            </w:r>
          </w:p>
        </w:tc>
      </w:tr>
      <w:tr w:rsidR="00CC35B0" w:rsidRPr="00FA48EE" w:rsidTr="00A65977">
        <w:trPr>
          <w:trHeight w:val="425"/>
        </w:trPr>
        <w:tc>
          <w:tcPr>
            <w:tcW w:w="2830" w:type="dxa"/>
            <w:shd w:val="clear" w:color="auto" w:fill="D9D9D9" w:themeFill="background1" w:themeFillShade="D9"/>
            <w:vAlign w:val="center"/>
          </w:tcPr>
          <w:p w:rsidR="00CC35B0" w:rsidRPr="00FA48EE" w:rsidRDefault="00A65977" w:rsidP="00A65977">
            <w:pPr>
              <w:rPr>
                <w:rFonts w:ascii="Arial" w:hAnsi="Arial" w:cs="Arial"/>
                <w:b/>
              </w:rPr>
            </w:pPr>
            <w:r>
              <w:rPr>
                <w:rFonts w:ascii="Arial" w:hAnsi="Arial" w:cs="Arial"/>
                <w:b/>
              </w:rPr>
              <w:t>Background Information</w:t>
            </w:r>
          </w:p>
        </w:tc>
        <w:tc>
          <w:tcPr>
            <w:tcW w:w="5245" w:type="dxa"/>
            <w:shd w:val="clear" w:color="auto" w:fill="D9D9D9" w:themeFill="background1" w:themeFillShade="D9"/>
            <w:vAlign w:val="center"/>
          </w:tcPr>
          <w:p w:rsidR="00CC35B0" w:rsidRPr="00431888" w:rsidRDefault="00CC35B0" w:rsidP="00A65977">
            <w:pPr>
              <w:rPr>
                <w:rFonts w:ascii="Arial" w:hAnsi="Arial" w:cs="Arial"/>
                <w:b/>
                <w:color w:val="E36C0A" w:themeColor="accent6" w:themeShade="BF"/>
              </w:rPr>
            </w:pPr>
          </w:p>
        </w:tc>
        <w:tc>
          <w:tcPr>
            <w:tcW w:w="6237" w:type="dxa"/>
            <w:shd w:val="clear" w:color="auto" w:fill="D9D9D9" w:themeFill="background1" w:themeFillShade="D9"/>
            <w:vAlign w:val="center"/>
          </w:tcPr>
          <w:p w:rsidR="00CC35B0" w:rsidRPr="00FA48EE" w:rsidRDefault="00CC35B0" w:rsidP="00A65977">
            <w:pPr>
              <w:rPr>
                <w:rFonts w:ascii="Arial" w:hAnsi="Arial" w:cs="Arial"/>
                <w:b/>
              </w:rPr>
            </w:pPr>
            <w:r w:rsidRPr="00FA48EE">
              <w:rPr>
                <w:rFonts w:ascii="Arial" w:hAnsi="Arial" w:cs="Arial"/>
                <w:b/>
              </w:rPr>
              <w:t>Additional notes</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Purpose of policy</w:t>
            </w:r>
            <w:r w:rsidR="00431888">
              <w:rPr>
                <w:rFonts w:ascii="Arial" w:hAnsi="Arial" w:cs="Arial"/>
                <w:b/>
              </w:rPr>
              <w:t>:</w:t>
            </w:r>
          </w:p>
        </w:tc>
        <w:tc>
          <w:tcPr>
            <w:tcW w:w="5245" w:type="dxa"/>
          </w:tcPr>
          <w:p w:rsidR="00CC35B0" w:rsidRPr="00FA48EE" w:rsidRDefault="00CC35B0" w:rsidP="009230E7">
            <w:pPr>
              <w:rPr>
                <w:rFonts w:ascii="Arial" w:hAnsi="Arial" w:cs="Arial"/>
              </w:rPr>
            </w:pPr>
            <w:r w:rsidRPr="00FA48EE">
              <w:rPr>
                <w:rFonts w:ascii="Arial" w:hAnsi="Arial" w:cs="Arial"/>
              </w:rPr>
              <w:t>The purpose of this policy is to enable the NGB to:</w:t>
            </w:r>
          </w:p>
          <w:p w:rsidR="00CC35B0" w:rsidRPr="00FA48EE" w:rsidRDefault="00CC35B0" w:rsidP="00CC35B0">
            <w:pPr>
              <w:pStyle w:val="ListParagraph"/>
              <w:numPr>
                <w:ilvl w:val="0"/>
                <w:numId w:val="21"/>
              </w:numPr>
              <w:ind w:left="318" w:hanging="318"/>
              <w:rPr>
                <w:rFonts w:ascii="Arial" w:hAnsi="Arial" w:cs="Arial"/>
              </w:rPr>
            </w:pPr>
            <w:r w:rsidRPr="00FA48EE">
              <w:rPr>
                <w:rFonts w:ascii="Arial" w:hAnsi="Arial" w:cs="Arial"/>
              </w:rPr>
              <w:t>comply with the law in respect of the data it holds about individuals;</w:t>
            </w:r>
          </w:p>
          <w:p w:rsidR="00CC35B0" w:rsidRPr="00FA48EE" w:rsidRDefault="00CC35B0" w:rsidP="00CC35B0">
            <w:pPr>
              <w:pStyle w:val="ListParagraph"/>
              <w:numPr>
                <w:ilvl w:val="0"/>
                <w:numId w:val="21"/>
              </w:numPr>
              <w:ind w:left="318" w:hanging="318"/>
              <w:rPr>
                <w:rFonts w:ascii="Arial" w:hAnsi="Arial" w:cs="Arial"/>
              </w:rPr>
            </w:pPr>
            <w:r w:rsidRPr="00FA48EE">
              <w:rPr>
                <w:rFonts w:ascii="Arial" w:hAnsi="Arial" w:cs="Arial"/>
              </w:rPr>
              <w:t xml:space="preserve">follow good practice; </w:t>
            </w:r>
          </w:p>
          <w:p w:rsidR="00CC35B0" w:rsidRPr="00FA48EE" w:rsidRDefault="00CC35B0" w:rsidP="00CC35B0">
            <w:pPr>
              <w:pStyle w:val="ListParagraph"/>
              <w:numPr>
                <w:ilvl w:val="0"/>
                <w:numId w:val="21"/>
              </w:numPr>
              <w:ind w:left="318" w:hanging="318"/>
              <w:rPr>
                <w:rFonts w:ascii="Arial" w:hAnsi="Arial" w:cs="Arial"/>
              </w:rPr>
            </w:pPr>
            <w:r w:rsidRPr="00FA48EE">
              <w:rPr>
                <w:rFonts w:ascii="Arial" w:hAnsi="Arial" w:cs="Arial"/>
              </w:rPr>
              <w:t>protect the NGB’s officers, athletes and other individuals associated with our sport;</w:t>
            </w:r>
          </w:p>
          <w:p w:rsidR="00CC35B0" w:rsidRPr="00FA48EE" w:rsidRDefault="00CC35B0" w:rsidP="00CC35B0">
            <w:pPr>
              <w:pStyle w:val="ListParagraph"/>
              <w:numPr>
                <w:ilvl w:val="0"/>
                <w:numId w:val="21"/>
              </w:numPr>
              <w:ind w:left="318" w:hanging="318"/>
              <w:rPr>
                <w:rFonts w:ascii="Arial" w:hAnsi="Arial" w:cs="Arial"/>
              </w:rPr>
            </w:pPr>
            <w:r w:rsidRPr="00FA48EE">
              <w:rPr>
                <w:rFonts w:ascii="Arial" w:hAnsi="Arial" w:cs="Arial"/>
              </w:rPr>
              <w:t>protect the NGB from the consequences of a breach of its responsibilities</w:t>
            </w:r>
          </w:p>
        </w:tc>
        <w:tc>
          <w:tcPr>
            <w:tcW w:w="6237" w:type="dxa"/>
          </w:tcPr>
          <w:p w:rsidR="00CC35B0" w:rsidRPr="00FA48EE" w:rsidRDefault="00CB0C86" w:rsidP="009230E7">
            <w:pPr>
              <w:rPr>
                <w:rFonts w:ascii="Arial" w:hAnsi="Arial" w:cs="Arial"/>
                <w:color w:val="FF0000"/>
              </w:rPr>
            </w:pPr>
            <w:r w:rsidRPr="00FA48EE">
              <w:rPr>
                <w:rFonts w:ascii="Arial" w:hAnsi="Arial" w:cs="Arial"/>
                <w:color w:val="FF0000"/>
              </w:rPr>
              <w:t>Add in any other reasons that the Board might identify as the reason for a data management policy and process e.g. to follow agreed policy of international federation or similar</w:t>
            </w:r>
            <w:r w:rsidR="00FA48EE">
              <w:rPr>
                <w:rFonts w:ascii="Arial" w:hAnsi="Arial" w:cs="Arial"/>
                <w:color w:val="FF0000"/>
              </w:rPr>
              <w:t>; to comply with anti-doping regulations etc.</w:t>
            </w:r>
          </w:p>
          <w:p w:rsidR="0082481A" w:rsidRDefault="0082481A" w:rsidP="009230E7">
            <w:pPr>
              <w:rPr>
                <w:rFonts w:ascii="Arial" w:hAnsi="Arial" w:cs="Arial"/>
                <w:color w:val="FF0000"/>
              </w:rPr>
            </w:pPr>
          </w:p>
          <w:p w:rsidR="00FA48EE" w:rsidRPr="00FA48EE" w:rsidRDefault="00FA48EE" w:rsidP="009230E7">
            <w:pPr>
              <w:rPr>
                <w:rFonts w:ascii="Arial" w:hAnsi="Arial" w:cs="Arial"/>
                <w:color w:val="FF0000"/>
              </w:rPr>
            </w:pP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Data Protection Principles</w:t>
            </w:r>
            <w:r w:rsidR="00431888">
              <w:rPr>
                <w:rFonts w:ascii="Arial" w:hAnsi="Arial" w:cs="Arial"/>
                <w:b/>
              </w:rPr>
              <w:t>:</w:t>
            </w:r>
          </w:p>
        </w:tc>
        <w:tc>
          <w:tcPr>
            <w:tcW w:w="11482" w:type="dxa"/>
            <w:gridSpan w:val="2"/>
          </w:tcPr>
          <w:p w:rsidR="00CC35B0" w:rsidRPr="00FA48EE" w:rsidRDefault="00CB0C86" w:rsidP="009230E7">
            <w:pPr>
              <w:rPr>
                <w:rFonts w:ascii="Arial" w:hAnsi="Arial" w:cs="Arial"/>
              </w:rPr>
            </w:pPr>
            <w:r w:rsidRPr="00FA48EE">
              <w:rPr>
                <w:rFonts w:ascii="Arial" w:hAnsi="Arial" w:cs="Arial"/>
              </w:rPr>
              <w:t>There are 8 main principles</w:t>
            </w:r>
            <w:r w:rsidR="00921F5E" w:rsidRPr="00FA48EE">
              <w:rPr>
                <w:rFonts w:ascii="Arial" w:hAnsi="Arial" w:cs="Arial"/>
              </w:rPr>
              <w:t xml:space="preserve"> covered by the Data Protection Act</w:t>
            </w:r>
            <w:r w:rsidRPr="00FA48EE">
              <w:rPr>
                <w:rFonts w:ascii="Arial" w:hAnsi="Arial" w:cs="Arial"/>
              </w:rPr>
              <w:t>:</w:t>
            </w:r>
          </w:p>
          <w:p w:rsidR="00CB0C86" w:rsidRPr="00FA48EE" w:rsidRDefault="00CB0C86" w:rsidP="00CB0C86">
            <w:pPr>
              <w:numPr>
                <w:ilvl w:val="0"/>
                <w:numId w:val="26"/>
              </w:numPr>
              <w:rPr>
                <w:rFonts w:ascii="Arial" w:hAnsi="Arial" w:cs="Arial"/>
              </w:rPr>
            </w:pPr>
            <w:r w:rsidRPr="00FA48EE">
              <w:rPr>
                <w:rFonts w:ascii="Arial" w:hAnsi="Arial" w:cs="Arial"/>
              </w:rPr>
              <w:t xml:space="preserve">Fairly and lawfully processed </w:t>
            </w:r>
          </w:p>
          <w:p w:rsidR="00CB0C86" w:rsidRPr="00FA48EE" w:rsidRDefault="00CB0C86" w:rsidP="00CB0C86">
            <w:pPr>
              <w:numPr>
                <w:ilvl w:val="0"/>
                <w:numId w:val="26"/>
              </w:numPr>
              <w:rPr>
                <w:rFonts w:ascii="Arial" w:hAnsi="Arial" w:cs="Arial"/>
              </w:rPr>
            </w:pPr>
            <w:r w:rsidRPr="00FA48EE">
              <w:rPr>
                <w:rFonts w:ascii="Arial" w:hAnsi="Arial" w:cs="Arial"/>
              </w:rPr>
              <w:t xml:space="preserve">Processed for limited purposes </w:t>
            </w:r>
          </w:p>
          <w:p w:rsidR="00CB0C86" w:rsidRPr="00FA48EE" w:rsidRDefault="00CB0C86" w:rsidP="00CB0C86">
            <w:pPr>
              <w:numPr>
                <w:ilvl w:val="0"/>
                <w:numId w:val="26"/>
              </w:numPr>
              <w:rPr>
                <w:rFonts w:ascii="Arial" w:hAnsi="Arial" w:cs="Arial"/>
              </w:rPr>
            </w:pPr>
            <w:r w:rsidRPr="00FA48EE">
              <w:rPr>
                <w:rFonts w:ascii="Arial" w:hAnsi="Arial" w:cs="Arial"/>
              </w:rPr>
              <w:t xml:space="preserve">Adequate, relevant and not excessive </w:t>
            </w:r>
          </w:p>
          <w:p w:rsidR="00CB0C86" w:rsidRPr="00FA48EE" w:rsidRDefault="00CB0C86" w:rsidP="00CB0C86">
            <w:pPr>
              <w:numPr>
                <w:ilvl w:val="0"/>
                <w:numId w:val="26"/>
              </w:numPr>
              <w:rPr>
                <w:rFonts w:ascii="Arial" w:hAnsi="Arial" w:cs="Arial"/>
              </w:rPr>
            </w:pPr>
            <w:r w:rsidRPr="00FA48EE">
              <w:rPr>
                <w:rFonts w:ascii="Arial" w:hAnsi="Arial" w:cs="Arial"/>
              </w:rPr>
              <w:t xml:space="preserve">Accurate and up to date </w:t>
            </w:r>
          </w:p>
          <w:p w:rsidR="00CB0C86" w:rsidRPr="00FA48EE" w:rsidRDefault="00CB0C86" w:rsidP="00CB0C86">
            <w:pPr>
              <w:numPr>
                <w:ilvl w:val="0"/>
                <w:numId w:val="26"/>
              </w:numPr>
              <w:rPr>
                <w:rFonts w:ascii="Arial" w:hAnsi="Arial" w:cs="Arial"/>
              </w:rPr>
            </w:pPr>
            <w:r w:rsidRPr="00FA48EE">
              <w:rPr>
                <w:rFonts w:ascii="Arial" w:hAnsi="Arial" w:cs="Arial"/>
              </w:rPr>
              <w:t xml:space="preserve">Not kept for longer than is necessary </w:t>
            </w:r>
          </w:p>
          <w:p w:rsidR="00CB0C86" w:rsidRPr="00FA48EE" w:rsidRDefault="00CB0C86" w:rsidP="00CB0C86">
            <w:pPr>
              <w:numPr>
                <w:ilvl w:val="0"/>
                <w:numId w:val="26"/>
              </w:numPr>
              <w:rPr>
                <w:rFonts w:ascii="Arial" w:hAnsi="Arial" w:cs="Arial"/>
              </w:rPr>
            </w:pPr>
            <w:r w:rsidRPr="00FA48EE">
              <w:rPr>
                <w:rFonts w:ascii="Arial" w:hAnsi="Arial" w:cs="Arial"/>
              </w:rPr>
              <w:t xml:space="preserve">Processed in line with your rights </w:t>
            </w:r>
          </w:p>
          <w:p w:rsidR="00CB0C86" w:rsidRPr="00FA48EE" w:rsidRDefault="00CB0C86" w:rsidP="00CB0C86">
            <w:pPr>
              <w:numPr>
                <w:ilvl w:val="0"/>
                <w:numId w:val="26"/>
              </w:numPr>
              <w:spacing w:after="28"/>
              <w:rPr>
                <w:rFonts w:ascii="Arial" w:hAnsi="Arial" w:cs="Arial"/>
              </w:rPr>
            </w:pPr>
            <w:r w:rsidRPr="00FA48EE">
              <w:rPr>
                <w:rFonts w:ascii="Arial" w:hAnsi="Arial" w:cs="Arial"/>
              </w:rPr>
              <w:lastRenderedPageBreak/>
              <w:t xml:space="preserve">Secure </w:t>
            </w:r>
          </w:p>
          <w:p w:rsidR="00CB0C86" w:rsidRPr="00FA48EE" w:rsidRDefault="00CB0C86" w:rsidP="00921F5E">
            <w:pPr>
              <w:numPr>
                <w:ilvl w:val="0"/>
                <w:numId w:val="26"/>
              </w:numPr>
              <w:spacing w:after="28"/>
              <w:rPr>
                <w:rFonts w:ascii="Arial" w:hAnsi="Arial" w:cs="Arial"/>
              </w:rPr>
            </w:pPr>
            <w:r w:rsidRPr="00FA48EE">
              <w:rPr>
                <w:rFonts w:ascii="Arial" w:hAnsi="Arial" w:cs="Arial"/>
              </w:rPr>
              <w:t xml:space="preserve">Not transferred to other countries without adequate protection </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lastRenderedPageBreak/>
              <w:t>Personal data</w:t>
            </w:r>
            <w:r w:rsidR="00431888">
              <w:rPr>
                <w:rFonts w:ascii="Arial" w:hAnsi="Arial" w:cs="Arial"/>
                <w:b/>
              </w:rPr>
              <w:t>:</w:t>
            </w:r>
          </w:p>
        </w:tc>
        <w:tc>
          <w:tcPr>
            <w:tcW w:w="5245" w:type="dxa"/>
          </w:tcPr>
          <w:p w:rsidR="00CC35B0" w:rsidRPr="00FA48EE" w:rsidRDefault="00921F5E" w:rsidP="00921F5E">
            <w:pPr>
              <w:rPr>
                <w:rFonts w:ascii="Arial" w:hAnsi="Arial" w:cs="Arial"/>
              </w:rPr>
            </w:pPr>
            <w:r w:rsidRPr="00FA48EE">
              <w:rPr>
                <w:rFonts w:ascii="Arial" w:hAnsi="Arial" w:cs="Arial"/>
              </w:rPr>
              <w:t xml:space="preserve">The NGB </w:t>
            </w:r>
            <w:r w:rsidR="00CC35B0" w:rsidRPr="00FA48EE">
              <w:rPr>
                <w:rFonts w:ascii="Arial" w:hAnsi="Arial" w:cs="Arial"/>
              </w:rPr>
              <w:t xml:space="preserve">policy </w:t>
            </w:r>
            <w:r w:rsidRPr="00FA48EE">
              <w:rPr>
                <w:rFonts w:ascii="Arial" w:hAnsi="Arial" w:cs="Arial"/>
              </w:rPr>
              <w:t xml:space="preserve">should </w:t>
            </w:r>
            <w:r w:rsidR="00CC35B0" w:rsidRPr="00FA48EE">
              <w:rPr>
                <w:rFonts w:ascii="Arial" w:hAnsi="Arial" w:cs="Arial"/>
              </w:rPr>
              <w:t>appl</w:t>
            </w:r>
            <w:r w:rsidRPr="00FA48EE">
              <w:rPr>
                <w:rFonts w:ascii="Arial" w:hAnsi="Arial" w:cs="Arial"/>
              </w:rPr>
              <w:t>y</w:t>
            </w:r>
            <w:r w:rsidR="00CC35B0" w:rsidRPr="00FA48EE">
              <w:rPr>
                <w:rFonts w:ascii="Arial" w:hAnsi="Arial" w:cs="Arial"/>
              </w:rPr>
              <w:t xml:space="preserve"> to information relating to identifiable individuals, even where it is technically outside the scope of the Data Protection Act, by virtue of not meeting the strict definition of ‘data’ in the Act.</w:t>
            </w:r>
            <w:r w:rsidRPr="00FA48EE">
              <w:rPr>
                <w:rFonts w:ascii="Arial" w:hAnsi="Arial" w:cs="Arial"/>
              </w:rPr>
              <w:t xml:space="preserve"> A decision needs to be made about what the NGB considers as its ‘data’.</w:t>
            </w:r>
          </w:p>
        </w:tc>
        <w:tc>
          <w:tcPr>
            <w:tcW w:w="6237" w:type="dxa"/>
          </w:tcPr>
          <w:p w:rsidR="00B12724" w:rsidRPr="00FA48EE" w:rsidRDefault="00921F5E" w:rsidP="009230E7">
            <w:pPr>
              <w:rPr>
                <w:rFonts w:ascii="Arial" w:hAnsi="Arial" w:cs="Arial"/>
                <w:color w:val="FF0000"/>
              </w:rPr>
            </w:pPr>
            <w:r w:rsidRPr="00FA48EE">
              <w:rPr>
                <w:rFonts w:ascii="Arial" w:hAnsi="Arial" w:cs="Arial"/>
                <w:color w:val="FF0000"/>
              </w:rPr>
              <w:t>Suggest consideration is given about how different data is stored and where it is stored e.g. membership names, addresses, bank details; athletes data for anti-doping etc.; volunteers data</w:t>
            </w:r>
            <w:r w:rsidR="00AC27A1" w:rsidRPr="00FA48EE">
              <w:rPr>
                <w:rFonts w:ascii="Arial" w:hAnsi="Arial" w:cs="Arial"/>
                <w:color w:val="FF0000"/>
              </w:rPr>
              <w:t xml:space="preserve">. </w:t>
            </w:r>
          </w:p>
          <w:p w:rsidR="00B12724" w:rsidRPr="00FA48EE" w:rsidRDefault="00B12724" w:rsidP="009230E7">
            <w:pPr>
              <w:rPr>
                <w:rFonts w:ascii="Arial" w:hAnsi="Arial" w:cs="Arial"/>
                <w:color w:val="FF0000"/>
              </w:rPr>
            </w:pPr>
          </w:p>
          <w:p w:rsidR="00CC35B0" w:rsidRPr="00FA48EE" w:rsidRDefault="00AC27A1" w:rsidP="009230E7">
            <w:pPr>
              <w:rPr>
                <w:rFonts w:ascii="Arial" w:hAnsi="Arial" w:cs="Arial"/>
                <w:color w:val="FF0000"/>
              </w:rPr>
            </w:pPr>
            <w:r w:rsidRPr="00FA48EE">
              <w:rPr>
                <w:rFonts w:ascii="Arial" w:hAnsi="Arial" w:cs="Arial"/>
                <w:color w:val="FF0000"/>
              </w:rPr>
              <w:t>Do not leave matters to chance – manage how your NGB data is stored, used and accessed.</w:t>
            </w:r>
          </w:p>
        </w:tc>
      </w:tr>
      <w:tr w:rsidR="00921F5E" w:rsidRPr="00FA48EE" w:rsidTr="009230E7">
        <w:tc>
          <w:tcPr>
            <w:tcW w:w="2830" w:type="dxa"/>
          </w:tcPr>
          <w:p w:rsidR="00921F5E" w:rsidRPr="00FA48EE" w:rsidRDefault="00921F5E" w:rsidP="009230E7">
            <w:pPr>
              <w:rPr>
                <w:rFonts w:ascii="Arial" w:hAnsi="Arial" w:cs="Arial"/>
                <w:b/>
              </w:rPr>
            </w:pPr>
            <w:r w:rsidRPr="00FA48EE">
              <w:rPr>
                <w:rFonts w:ascii="Arial" w:hAnsi="Arial" w:cs="Arial"/>
                <w:b/>
              </w:rPr>
              <w:t>Rights of Individuals</w:t>
            </w:r>
            <w:r w:rsidR="00431888">
              <w:rPr>
                <w:rFonts w:ascii="Arial" w:hAnsi="Arial" w:cs="Arial"/>
                <w:b/>
              </w:rPr>
              <w:t>:</w:t>
            </w:r>
          </w:p>
        </w:tc>
        <w:tc>
          <w:tcPr>
            <w:tcW w:w="5245" w:type="dxa"/>
          </w:tcPr>
          <w:p w:rsidR="00921F5E" w:rsidRPr="00FA48EE" w:rsidRDefault="00921F5E" w:rsidP="009230E7">
            <w:pPr>
              <w:rPr>
                <w:rFonts w:ascii="Arial" w:hAnsi="Arial" w:cs="Arial"/>
              </w:rPr>
            </w:pPr>
            <w:r w:rsidRPr="00FA48EE">
              <w:rPr>
                <w:rFonts w:ascii="Arial" w:hAnsi="Arial" w:cs="Arial"/>
              </w:rPr>
              <w:t>The Act provides individuals with important rights, including the right to find out what personal information is held on computer and most paper records. Should an individual or organisation feel they are being denied access to personal information they are entitled to, or feel their information has not been handled according to the eight principles, they can contact the Information Commissioner's Office for help.</w:t>
            </w:r>
          </w:p>
        </w:tc>
        <w:tc>
          <w:tcPr>
            <w:tcW w:w="6237" w:type="dxa"/>
          </w:tcPr>
          <w:p w:rsidR="00921F5E" w:rsidRPr="00FA48EE" w:rsidRDefault="00921F5E" w:rsidP="00921F5E">
            <w:pPr>
              <w:rPr>
                <w:rFonts w:ascii="Arial" w:hAnsi="Arial" w:cs="Arial"/>
                <w:color w:val="FF0000"/>
              </w:rPr>
            </w:pPr>
            <w:r w:rsidRPr="00FA48EE">
              <w:rPr>
                <w:rFonts w:ascii="Arial" w:hAnsi="Arial" w:cs="Arial"/>
                <w:color w:val="FF0000"/>
              </w:rPr>
              <w:t>Consider how the NGB will deal with requests from individuals about the data held by the NGB about them. Who should requests be sent to, what timescales will be followed?</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Policy statement</w:t>
            </w:r>
            <w:r w:rsidR="00431888">
              <w:rPr>
                <w:rFonts w:ascii="Arial" w:hAnsi="Arial" w:cs="Arial"/>
                <w:b/>
              </w:rPr>
              <w:t>:</w:t>
            </w:r>
          </w:p>
        </w:tc>
        <w:tc>
          <w:tcPr>
            <w:tcW w:w="5245" w:type="dxa"/>
          </w:tcPr>
          <w:p w:rsidR="00CC35B0" w:rsidRPr="00FA48EE" w:rsidRDefault="00CC35B0" w:rsidP="009230E7">
            <w:pPr>
              <w:rPr>
                <w:rFonts w:ascii="Arial" w:hAnsi="Arial" w:cs="Arial"/>
              </w:rPr>
            </w:pPr>
            <w:r w:rsidRPr="00FA48EE">
              <w:rPr>
                <w:rFonts w:ascii="Arial" w:hAnsi="Arial" w:cs="Arial"/>
              </w:rPr>
              <w:t xml:space="preserve">The NGB </w:t>
            </w:r>
            <w:r w:rsidR="00921F5E" w:rsidRPr="00FA48EE">
              <w:rPr>
                <w:rFonts w:ascii="Arial" w:hAnsi="Arial" w:cs="Arial"/>
              </w:rPr>
              <w:t xml:space="preserve">needs to include reference to the previous points and </w:t>
            </w:r>
            <w:r w:rsidRPr="00FA48EE">
              <w:rPr>
                <w:rFonts w:ascii="Arial" w:hAnsi="Arial" w:cs="Arial"/>
              </w:rPr>
              <w:t>commit to:</w:t>
            </w:r>
          </w:p>
          <w:p w:rsidR="00CC35B0" w:rsidRPr="00FA48EE" w:rsidRDefault="00CC35B0" w:rsidP="00CC35B0">
            <w:pPr>
              <w:pStyle w:val="ListParagraph"/>
              <w:numPr>
                <w:ilvl w:val="0"/>
                <w:numId w:val="22"/>
              </w:numPr>
              <w:rPr>
                <w:rFonts w:ascii="Arial" w:hAnsi="Arial" w:cs="Arial"/>
              </w:rPr>
            </w:pPr>
            <w:r w:rsidRPr="00FA48EE">
              <w:rPr>
                <w:rFonts w:ascii="Arial" w:hAnsi="Arial" w:cs="Arial"/>
              </w:rPr>
              <w:t>comply with both the law and good practice</w:t>
            </w:r>
          </w:p>
          <w:p w:rsidR="00CC35B0" w:rsidRPr="00FA48EE" w:rsidRDefault="00CC35B0" w:rsidP="00CC35B0">
            <w:pPr>
              <w:pStyle w:val="ListParagraph"/>
              <w:numPr>
                <w:ilvl w:val="0"/>
                <w:numId w:val="22"/>
              </w:numPr>
              <w:rPr>
                <w:rFonts w:ascii="Arial" w:hAnsi="Arial" w:cs="Arial"/>
              </w:rPr>
            </w:pPr>
            <w:r w:rsidRPr="00FA48EE">
              <w:rPr>
                <w:rFonts w:ascii="Arial" w:hAnsi="Arial" w:cs="Arial"/>
              </w:rPr>
              <w:t>respect individuals’ rights</w:t>
            </w:r>
          </w:p>
          <w:p w:rsidR="00CC35B0" w:rsidRPr="00FA48EE" w:rsidRDefault="00CC35B0" w:rsidP="00CC35B0">
            <w:pPr>
              <w:pStyle w:val="ListParagraph"/>
              <w:numPr>
                <w:ilvl w:val="0"/>
                <w:numId w:val="22"/>
              </w:numPr>
              <w:rPr>
                <w:rFonts w:ascii="Arial" w:hAnsi="Arial" w:cs="Arial"/>
              </w:rPr>
            </w:pPr>
            <w:r w:rsidRPr="00FA48EE">
              <w:rPr>
                <w:rFonts w:ascii="Arial" w:hAnsi="Arial" w:cs="Arial"/>
              </w:rPr>
              <w:t>be open and honest with individuals whose data is held</w:t>
            </w:r>
          </w:p>
          <w:p w:rsidR="00CC35B0" w:rsidRPr="00FA48EE" w:rsidRDefault="00CC35B0" w:rsidP="00CC35B0">
            <w:pPr>
              <w:pStyle w:val="ListParagraph"/>
              <w:numPr>
                <w:ilvl w:val="0"/>
                <w:numId w:val="22"/>
              </w:numPr>
              <w:rPr>
                <w:rFonts w:ascii="Arial" w:hAnsi="Arial" w:cs="Arial"/>
              </w:rPr>
            </w:pPr>
            <w:r w:rsidRPr="00FA48EE">
              <w:rPr>
                <w:rFonts w:ascii="Arial" w:hAnsi="Arial" w:cs="Arial"/>
              </w:rPr>
              <w:t>adopt a policy on the secure storage, handling, use, retention and disposal of information including Disclosure Information in accordance with DBS</w:t>
            </w:r>
          </w:p>
        </w:tc>
        <w:tc>
          <w:tcPr>
            <w:tcW w:w="6237" w:type="dxa"/>
          </w:tcPr>
          <w:p w:rsidR="00CC35B0" w:rsidRPr="00FA48EE" w:rsidRDefault="00CC35B0" w:rsidP="00921F5E">
            <w:pPr>
              <w:rPr>
                <w:rFonts w:ascii="Arial" w:hAnsi="Arial" w:cs="Arial"/>
                <w:color w:val="FF0000"/>
              </w:rPr>
            </w:pPr>
            <w:r w:rsidRPr="00FA48EE">
              <w:rPr>
                <w:rFonts w:ascii="Arial" w:hAnsi="Arial" w:cs="Arial"/>
                <w:color w:val="FF0000"/>
              </w:rPr>
              <w:t>The</w:t>
            </w:r>
            <w:r w:rsidR="00921F5E" w:rsidRPr="00FA48EE">
              <w:rPr>
                <w:rFonts w:ascii="Arial" w:hAnsi="Arial" w:cs="Arial"/>
                <w:color w:val="FF0000"/>
              </w:rPr>
              <w:t xml:space="preserve"> actual </w:t>
            </w:r>
            <w:r w:rsidRPr="00FA48EE">
              <w:rPr>
                <w:rFonts w:ascii="Arial" w:hAnsi="Arial" w:cs="Arial"/>
                <w:color w:val="FF0000"/>
              </w:rPr>
              <w:t>policy</w:t>
            </w:r>
            <w:r w:rsidR="00921F5E" w:rsidRPr="00FA48EE">
              <w:rPr>
                <w:rFonts w:ascii="Arial" w:hAnsi="Arial" w:cs="Arial"/>
                <w:color w:val="FF0000"/>
              </w:rPr>
              <w:t xml:space="preserve"> wording</w:t>
            </w:r>
            <w:r w:rsidRPr="00FA48EE">
              <w:rPr>
                <w:rFonts w:ascii="Arial" w:hAnsi="Arial" w:cs="Arial"/>
                <w:color w:val="FF0000"/>
              </w:rPr>
              <w:t xml:space="preserve"> should contain refe</w:t>
            </w:r>
            <w:r w:rsidR="005014B9" w:rsidRPr="00FA48EE">
              <w:rPr>
                <w:rFonts w:ascii="Arial" w:hAnsi="Arial" w:cs="Arial"/>
                <w:color w:val="FF0000"/>
              </w:rPr>
              <w:t>rence to the four bullet poin</w:t>
            </w:r>
            <w:r w:rsidR="00431888">
              <w:rPr>
                <w:rFonts w:ascii="Arial" w:hAnsi="Arial" w:cs="Arial"/>
                <w:color w:val="FF0000"/>
              </w:rPr>
              <w:t>ts as a minimum, others points may be added to suit your individual NGB needs.</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Code of Practice</w:t>
            </w:r>
            <w:r w:rsidR="005014B9" w:rsidRPr="00FA48EE">
              <w:rPr>
                <w:rFonts w:ascii="Arial" w:hAnsi="Arial" w:cs="Arial"/>
                <w:b/>
              </w:rPr>
              <w:t xml:space="preserve"> for NGB data handling</w:t>
            </w:r>
            <w:r w:rsidR="00431888">
              <w:rPr>
                <w:rFonts w:ascii="Arial" w:hAnsi="Arial" w:cs="Arial"/>
                <w:b/>
              </w:rPr>
              <w:t>:</w:t>
            </w:r>
          </w:p>
        </w:tc>
        <w:tc>
          <w:tcPr>
            <w:tcW w:w="5245" w:type="dxa"/>
          </w:tcPr>
          <w:p w:rsidR="00CC35B0" w:rsidRPr="00FA48EE" w:rsidRDefault="00CC35B0" w:rsidP="00431888">
            <w:pPr>
              <w:rPr>
                <w:rFonts w:ascii="Arial" w:hAnsi="Arial" w:cs="Arial"/>
              </w:rPr>
            </w:pPr>
            <w:r w:rsidRPr="00FA48EE">
              <w:rPr>
                <w:rFonts w:ascii="Arial" w:hAnsi="Arial" w:cs="Arial"/>
              </w:rPr>
              <w:t xml:space="preserve">The NGB </w:t>
            </w:r>
            <w:r w:rsidR="00431888">
              <w:rPr>
                <w:rFonts w:ascii="Arial" w:hAnsi="Arial" w:cs="Arial"/>
              </w:rPr>
              <w:t xml:space="preserve">must </w:t>
            </w:r>
            <w:r w:rsidRPr="00FA48EE">
              <w:rPr>
                <w:rFonts w:ascii="Arial" w:hAnsi="Arial" w:cs="Arial"/>
              </w:rPr>
              <w:t xml:space="preserve">recognise that its first priority under the Data Protection Act is to avoid </w:t>
            </w:r>
            <w:r w:rsidRPr="00FA48EE">
              <w:rPr>
                <w:rFonts w:ascii="Arial" w:hAnsi="Arial" w:cs="Arial"/>
                <w:b/>
              </w:rPr>
              <w:t>causing harm to individuals.</w:t>
            </w:r>
            <w:r w:rsidRPr="00FA48EE">
              <w:rPr>
                <w:rFonts w:ascii="Arial" w:hAnsi="Arial" w:cs="Arial"/>
              </w:rPr>
              <w:t xml:space="preserve">  In the main this means keeping </w:t>
            </w:r>
            <w:r w:rsidR="005014B9" w:rsidRPr="00FA48EE">
              <w:rPr>
                <w:rFonts w:ascii="Arial" w:hAnsi="Arial" w:cs="Arial"/>
              </w:rPr>
              <w:lastRenderedPageBreak/>
              <w:t xml:space="preserve">accurate </w:t>
            </w:r>
            <w:r w:rsidRPr="00FA48EE">
              <w:rPr>
                <w:rFonts w:ascii="Arial" w:hAnsi="Arial" w:cs="Arial"/>
              </w:rPr>
              <w:t>information securely in the right hands.</w:t>
            </w:r>
          </w:p>
        </w:tc>
        <w:tc>
          <w:tcPr>
            <w:tcW w:w="6237" w:type="dxa"/>
          </w:tcPr>
          <w:p w:rsidR="00CC35B0" w:rsidRPr="00FA48EE" w:rsidRDefault="005014B9" w:rsidP="009230E7">
            <w:pPr>
              <w:rPr>
                <w:rFonts w:ascii="Arial" w:hAnsi="Arial" w:cs="Arial"/>
                <w:color w:val="FF0000"/>
              </w:rPr>
            </w:pPr>
            <w:r w:rsidRPr="00FA48EE">
              <w:rPr>
                <w:rFonts w:ascii="Arial" w:hAnsi="Arial" w:cs="Arial"/>
                <w:color w:val="FF0000"/>
              </w:rPr>
              <w:lastRenderedPageBreak/>
              <w:t>Link data handling about bank accounts etc. to the NGB anti-fraud policy and procedures</w:t>
            </w:r>
          </w:p>
          <w:p w:rsidR="0082481A" w:rsidRPr="00FA48EE" w:rsidRDefault="0082481A" w:rsidP="009230E7">
            <w:pPr>
              <w:rPr>
                <w:rFonts w:ascii="Arial" w:hAnsi="Arial" w:cs="Arial"/>
                <w:color w:val="FF0000"/>
              </w:rPr>
            </w:pPr>
          </w:p>
          <w:p w:rsidR="0082481A" w:rsidRPr="00FA48EE" w:rsidRDefault="0082481A" w:rsidP="009230E7">
            <w:pPr>
              <w:rPr>
                <w:rFonts w:ascii="Arial" w:hAnsi="Arial" w:cs="Arial"/>
                <w:color w:val="FF0000"/>
              </w:rPr>
            </w:pPr>
            <w:r w:rsidRPr="00FA48EE">
              <w:rPr>
                <w:rFonts w:ascii="Arial" w:hAnsi="Arial" w:cs="Arial"/>
                <w:color w:val="FF0000"/>
              </w:rPr>
              <w:lastRenderedPageBreak/>
              <w:t>Consider signing up for the “Personal Information Promise” – further details can be found at:</w:t>
            </w:r>
          </w:p>
          <w:p w:rsidR="0082481A" w:rsidRPr="00FA48EE" w:rsidRDefault="0082481A" w:rsidP="009230E7">
            <w:pPr>
              <w:rPr>
                <w:rFonts w:ascii="Arial" w:hAnsi="Arial" w:cs="Arial"/>
                <w:color w:val="FF0000"/>
              </w:rPr>
            </w:pPr>
            <w:r w:rsidRPr="00FA48EE">
              <w:rPr>
                <w:rFonts w:ascii="Arial" w:hAnsi="Arial" w:cs="Arial"/>
                <w:color w:val="FF0000"/>
              </w:rPr>
              <w:t>https://ico.org.uk/for-organisations/improve-your-practices/personal-information-promise/</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lastRenderedPageBreak/>
              <w:t>Key risks</w:t>
            </w:r>
            <w:r w:rsidR="00431888">
              <w:rPr>
                <w:rFonts w:ascii="Arial" w:hAnsi="Arial" w:cs="Arial"/>
                <w:b/>
              </w:rPr>
              <w:t>:</w:t>
            </w:r>
          </w:p>
        </w:tc>
        <w:tc>
          <w:tcPr>
            <w:tcW w:w="5245" w:type="dxa"/>
          </w:tcPr>
          <w:p w:rsidR="002D6836" w:rsidRPr="00FA48EE" w:rsidRDefault="002D6836" w:rsidP="009230E7">
            <w:pPr>
              <w:rPr>
                <w:rFonts w:ascii="Arial" w:hAnsi="Arial" w:cs="Arial"/>
              </w:rPr>
            </w:pPr>
            <w:r w:rsidRPr="00FA48EE">
              <w:rPr>
                <w:rFonts w:ascii="Arial" w:hAnsi="Arial" w:cs="Arial"/>
              </w:rPr>
              <w:t>The NGB must consider the main risks of not having or not complying with a data management process</w:t>
            </w:r>
          </w:p>
          <w:p w:rsidR="002D6836" w:rsidRPr="00FA48EE" w:rsidRDefault="002D6836" w:rsidP="009230E7">
            <w:pPr>
              <w:rPr>
                <w:rFonts w:ascii="Arial" w:hAnsi="Arial" w:cs="Arial"/>
              </w:rPr>
            </w:pPr>
            <w:r w:rsidRPr="00FA48EE">
              <w:rPr>
                <w:rFonts w:ascii="Arial" w:hAnsi="Arial" w:cs="Arial"/>
              </w:rPr>
              <w:t xml:space="preserve">e.g. </w:t>
            </w:r>
          </w:p>
          <w:p w:rsidR="00CC35B0" w:rsidRPr="00FA48EE" w:rsidRDefault="00CC35B0" w:rsidP="009230E7">
            <w:pPr>
              <w:rPr>
                <w:rFonts w:ascii="Arial" w:hAnsi="Arial" w:cs="Arial"/>
              </w:rPr>
            </w:pPr>
            <w:r w:rsidRPr="00FA48EE">
              <w:rPr>
                <w:rFonts w:ascii="Arial" w:hAnsi="Arial" w:cs="Arial"/>
              </w:rPr>
              <w:t>The main risks within the NGB fall in two key areas:</w:t>
            </w:r>
          </w:p>
          <w:p w:rsidR="00CC35B0" w:rsidRPr="00FA48EE" w:rsidRDefault="00CC35B0" w:rsidP="00CC35B0">
            <w:pPr>
              <w:pStyle w:val="ListParagraph"/>
              <w:numPr>
                <w:ilvl w:val="0"/>
                <w:numId w:val="23"/>
              </w:numPr>
              <w:rPr>
                <w:rFonts w:ascii="Arial" w:hAnsi="Arial" w:cs="Arial"/>
              </w:rPr>
            </w:pPr>
            <w:r w:rsidRPr="00FA48EE">
              <w:rPr>
                <w:rFonts w:ascii="Arial" w:hAnsi="Arial" w:cs="Arial"/>
              </w:rPr>
              <w:t>information about individuals getting into the wrong hands, through poor security or inappropriate disclosure of information</w:t>
            </w:r>
          </w:p>
          <w:p w:rsidR="00CC35B0" w:rsidRPr="00FA48EE" w:rsidRDefault="00CC35B0" w:rsidP="00CC35B0">
            <w:pPr>
              <w:pStyle w:val="ListParagraph"/>
              <w:numPr>
                <w:ilvl w:val="0"/>
                <w:numId w:val="23"/>
              </w:numPr>
              <w:rPr>
                <w:rFonts w:ascii="Arial" w:hAnsi="Arial" w:cs="Arial"/>
              </w:rPr>
            </w:pPr>
            <w:r w:rsidRPr="00FA48EE">
              <w:rPr>
                <w:rFonts w:ascii="Arial" w:hAnsi="Arial" w:cs="Arial"/>
              </w:rPr>
              <w:t>individuals being harmed through data being inaccurate or insufficient</w:t>
            </w:r>
            <w:r w:rsidRPr="00FA48EE">
              <w:rPr>
                <w:rFonts w:ascii="Arial" w:hAnsi="Arial" w:cs="Arial"/>
              </w:rPr>
              <w:tab/>
            </w:r>
          </w:p>
          <w:p w:rsidR="00CC35B0" w:rsidRPr="00FA48EE" w:rsidRDefault="00CC35B0" w:rsidP="009230E7">
            <w:pPr>
              <w:rPr>
                <w:rFonts w:ascii="Arial" w:hAnsi="Arial" w:cs="Arial"/>
              </w:rPr>
            </w:pPr>
          </w:p>
        </w:tc>
        <w:tc>
          <w:tcPr>
            <w:tcW w:w="6237" w:type="dxa"/>
          </w:tcPr>
          <w:p w:rsidR="002D6836" w:rsidRPr="00FA48EE" w:rsidRDefault="002D6836" w:rsidP="009230E7">
            <w:pPr>
              <w:rPr>
                <w:rFonts w:ascii="Arial" w:hAnsi="Arial" w:cs="Arial"/>
              </w:rPr>
            </w:pPr>
            <w:r w:rsidRPr="00FA48EE">
              <w:rPr>
                <w:rFonts w:ascii="Arial" w:hAnsi="Arial" w:cs="Arial"/>
                <w:color w:val="FF0000"/>
              </w:rPr>
              <w:t>Examples of identified risks might include the following:</w:t>
            </w:r>
          </w:p>
          <w:p w:rsidR="00CC35B0" w:rsidRPr="00FA48EE" w:rsidRDefault="00CC35B0" w:rsidP="00CC35B0">
            <w:pPr>
              <w:pStyle w:val="ListParagraph"/>
              <w:numPr>
                <w:ilvl w:val="0"/>
                <w:numId w:val="24"/>
              </w:numPr>
              <w:rPr>
                <w:rFonts w:ascii="Arial" w:hAnsi="Arial" w:cs="Arial"/>
                <w:color w:val="FF0000"/>
              </w:rPr>
            </w:pPr>
            <w:r w:rsidRPr="00FA48EE">
              <w:rPr>
                <w:rFonts w:ascii="Arial" w:hAnsi="Arial" w:cs="Arial"/>
                <w:color w:val="FF0000"/>
              </w:rPr>
              <w:t xml:space="preserve">Breach of confidentiality </w:t>
            </w:r>
          </w:p>
          <w:p w:rsidR="00CC35B0" w:rsidRPr="00FA48EE" w:rsidRDefault="00CC35B0" w:rsidP="00CC35B0">
            <w:pPr>
              <w:pStyle w:val="ListParagraph"/>
              <w:numPr>
                <w:ilvl w:val="0"/>
                <w:numId w:val="24"/>
              </w:numPr>
              <w:rPr>
                <w:rFonts w:ascii="Arial" w:hAnsi="Arial" w:cs="Arial"/>
                <w:color w:val="FF0000"/>
              </w:rPr>
            </w:pPr>
            <w:r w:rsidRPr="00FA48EE">
              <w:rPr>
                <w:rFonts w:ascii="Arial" w:hAnsi="Arial" w:cs="Arial"/>
                <w:color w:val="FF0000"/>
              </w:rPr>
              <w:t xml:space="preserve">Insufficient clarity about the range of uses </w:t>
            </w:r>
            <w:r w:rsidR="002D6836" w:rsidRPr="00FA48EE">
              <w:rPr>
                <w:rFonts w:ascii="Arial" w:hAnsi="Arial" w:cs="Arial"/>
                <w:color w:val="FF0000"/>
              </w:rPr>
              <w:t>of the</w:t>
            </w:r>
            <w:r w:rsidRPr="00FA48EE">
              <w:rPr>
                <w:rFonts w:ascii="Arial" w:hAnsi="Arial" w:cs="Arial"/>
                <w:color w:val="FF0000"/>
              </w:rPr>
              <w:t xml:space="preserve"> data </w:t>
            </w:r>
            <w:r w:rsidR="002D6836" w:rsidRPr="00FA48EE">
              <w:rPr>
                <w:rFonts w:ascii="Arial" w:hAnsi="Arial" w:cs="Arial"/>
                <w:color w:val="FF0000"/>
              </w:rPr>
              <w:t xml:space="preserve">— leading to volunteers, </w:t>
            </w:r>
            <w:r w:rsidRPr="00FA48EE">
              <w:rPr>
                <w:rFonts w:ascii="Arial" w:hAnsi="Arial" w:cs="Arial"/>
                <w:color w:val="FF0000"/>
              </w:rPr>
              <w:t>athletes</w:t>
            </w:r>
            <w:r w:rsidR="002D6836" w:rsidRPr="00FA48EE">
              <w:rPr>
                <w:rFonts w:ascii="Arial" w:hAnsi="Arial" w:cs="Arial"/>
                <w:color w:val="FF0000"/>
              </w:rPr>
              <w:t xml:space="preserve"> etc.</w:t>
            </w:r>
            <w:r w:rsidRPr="00FA48EE">
              <w:rPr>
                <w:rFonts w:ascii="Arial" w:hAnsi="Arial" w:cs="Arial"/>
                <w:color w:val="FF0000"/>
              </w:rPr>
              <w:t xml:space="preserve"> being insufficiently informed</w:t>
            </w:r>
          </w:p>
          <w:p w:rsidR="00CC35B0" w:rsidRPr="00FA48EE" w:rsidRDefault="00CC35B0" w:rsidP="00CC35B0">
            <w:pPr>
              <w:pStyle w:val="ListParagraph"/>
              <w:numPr>
                <w:ilvl w:val="0"/>
                <w:numId w:val="24"/>
              </w:numPr>
              <w:rPr>
                <w:rFonts w:ascii="Arial" w:hAnsi="Arial" w:cs="Arial"/>
                <w:color w:val="FF0000"/>
              </w:rPr>
            </w:pPr>
            <w:r w:rsidRPr="00FA48EE">
              <w:rPr>
                <w:rFonts w:ascii="Arial" w:hAnsi="Arial" w:cs="Arial"/>
                <w:color w:val="FF0000"/>
              </w:rPr>
              <w:t xml:space="preserve">Failure to offer choice about data use when appropriate </w:t>
            </w:r>
          </w:p>
          <w:p w:rsidR="00CC35B0" w:rsidRPr="00FA48EE" w:rsidRDefault="00CC35B0" w:rsidP="00CC35B0">
            <w:pPr>
              <w:pStyle w:val="ListParagraph"/>
              <w:numPr>
                <w:ilvl w:val="0"/>
                <w:numId w:val="24"/>
              </w:numPr>
              <w:rPr>
                <w:rFonts w:ascii="Arial" w:hAnsi="Arial" w:cs="Arial"/>
                <w:color w:val="FF0000"/>
              </w:rPr>
            </w:pPr>
            <w:r w:rsidRPr="00FA48EE">
              <w:rPr>
                <w:rFonts w:ascii="Arial" w:hAnsi="Arial" w:cs="Arial"/>
                <w:color w:val="FF0000"/>
              </w:rPr>
              <w:t xml:space="preserve">Breach of security by allowing unauthorised access </w:t>
            </w:r>
          </w:p>
          <w:p w:rsidR="00CC35B0" w:rsidRPr="00FA48EE" w:rsidRDefault="00CC35B0" w:rsidP="00CC35B0">
            <w:pPr>
              <w:pStyle w:val="ListParagraph"/>
              <w:numPr>
                <w:ilvl w:val="0"/>
                <w:numId w:val="24"/>
              </w:numPr>
              <w:rPr>
                <w:rFonts w:ascii="Arial" w:hAnsi="Arial" w:cs="Arial"/>
                <w:color w:val="FF0000"/>
              </w:rPr>
            </w:pPr>
            <w:r w:rsidRPr="00FA48EE">
              <w:rPr>
                <w:rFonts w:ascii="Arial" w:hAnsi="Arial" w:cs="Arial"/>
                <w:color w:val="FF0000"/>
              </w:rPr>
              <w:t xml:space="preserve">Failure to establish efficient systems of managing changes to </w:t>
            </w:r>
            <w:r w:rsidR="002D6836" w:rsidRPr="00FA48EE">
              <w:rPr>
                <w:rFonts w:ascii="Arial" w:hAnsi="Arial" w:cs="Arial"/>
                <w:color w:val="FF0000"/>
              </w:rPr>
              <w:t xml:space="preserve">data - </w:t>
            </w:r>
            <w:r w:rsidRPr="00FA48EE">
              <w:rPr>
                <w:rFonts w:ascii="Arial" w:hAnsi="Arial" w:cs="Arial"/>
                <w:color w:val="FF0000"/>
              </w:rPr>
              <w:t xml:space="preserve">leading to </w:t>
            </w:r>
            <w:r w:rsidR="002D6836" w:rsidRPr="00FA48EE">
              <w:rPr>
                <w:rFonts w:ascii="Arial" w:hAnsi="Arial" w:cs="Arial"/>
                <w:color w:val="FF0000"/>
              </w:rPr>
              <w:t>data not being up to date</w:t>
            </w:r>
          </w:p>
          <w:p w:rsidR="00CC35B0" w:rsidRPr="00FA48EE" w:rsidRDefault="00CC35B0" w:rsidP="00CC35B0">
            <w:pPr>
              <w:pStyle w:val="ListParagraph"/>
              <w:numPr>
                <w:ilvl w:val="0"/>
                <w:numId w:val="24"/>
              </w:numPr>
              <w:rPr>
                <w:rFonts w:ascii="Arial" w:hAnsi="Arial" w:cs="Arial"/>
                <w:color w:val="FF0000"/>
              </w:rPr>
            </w:pPr>
            <w:r w:rsidRPr="00FA48EE">
              <w:rPr>
                <w:rFonts w:ascii="Arial" w:hAnsi="Arial" w:cs="Arial"/>
                <w:color w:val="FF0000"/>
              </w:rPr>
              <w:t>Harm to individuals if personal data is incorrect</w:t>
            </w:r>
          </w:p>
          <w:p w:rsidR="00CC35B0" w:rsidRPr="00FA48EE" w:rsidRDefault="00CC35B0" w:rsidP="00CC35B0">
            <w:pPr>
              <w:pStyle w:val="ListParagraph"/>
              <w:numPr>
                <w:ilvl w:val="0"/>
                <w:numId w:val="24"/>
              </w:numPr>
              <w:rPr>
                <w:rFonts w:ascii="Arial" w:hAnsi="Arial" w:cs="Arial"/>
                <w:color w:val="FF0000"/>
              </w:rPr>
            </w:pPr>
            <w:r w:rsidRPr="00FA48EE">
              <w:rPr>
                <w:rFonts w:ascii="Arial" w:hAnsi="Arial" w:cs="Arial"/>
                <w:color w:val="FF0000"/>
              </w:rPr>
              <w:t>Insufficient clarity about the way personal data is being used e.g. gi</w:t>
            </w:r>
            <w:r w:rsidR="002D6836" w:rsidRPr="00FA48EE">
              <w:rPr>
                <w:rFonts w:ascii="Arial" w:hAnsi="Arial" w:cs="Arial"/>
                <w:color w:val="FF0000"/>
              </w:rPr>
              <w:t>ven out to general public/media</w:t>
            </w:r>
          </w:p>
          <w:p w:rsidR="00CC35B0" w:rsidRPr="00FA48EE" w:rsidRDefault="00CC35B0" w:rsidP="00CC35B0">
            <w:pPr>
              <w:pStyle w:val="ListParagraph"/>
              <w:numPr>
                <w:ilvl w:val="0"/>
                <w:numId w:val="24"/>
              </w:numPr>
              <w:rPr>
                <w:rFonts w:ascii="Arial" w:hAnsi="Arial" w:cs="Arial"/>
              </w:rPr>
            </w:pPr>
            <w:r w:rsidRPr="00FA48EE">
              <w:rPr>
                <w:rFonts w:ascii="Arial" w:hAnsi="Arial" w:cs="Arial"/>
                <w:color w:val="FF0000"/>
              </w:rPr>
              <w:t>Information given out on a website</w:t>
            </w:r>
            <w:r w:rsidR="002D6836" w:rsidRPr="00FA48EE">
              <w:rPr>
                <w:rFonts w:ascii="Arial" w:hAnsi="Arial" w:cs="Arial"/>
                <w:color w:val="FF0000"/>
              </w:rPr>
              <w:t xml:space="preserve"> without consent</w:t>
            </w:r>
          </w:p>
        </w:tc>
      </w:tr>
      <w:tr w:rsidR="00CC35B0" w:rsidRPr="00FA48EE" w:rsidTr="00431888">
        <w:tc>
          <w:tcPr>
            <w:tcW w:w="14312" w:type="dxa"/>
            <w:gridSpan w:val="3"/>
            <w:vAlign w:val="center"/>
          </w:tcPr>
          <w:p w:rsidR="00431888" w:rsidRPr="00431888" w:rsidRDefault="00431888" w:rsidP="00431888">
            <w:pPr>
              <w:rPr>
                <w:rFonts w:ascii="Arial" w:hAnsi="Arial" w:cs="Arial"/>
                <w:b/>
                <w:sz w:val="6"/>
                <w:szCs w:val="6"/>
              </w:rPr>
            </w:pPr>
          </w:p>
          <w:p w:rsidR="00431888" w:rsidRPr="00431888" w:rsidRDefault="00CC35B0" w:rsidP="00431888">
            <w:pPr>
              <w:rPr>
                <w:rFonts w:ascii="Arial" w:hAnsi="Arial" w:cs="Arial"/>
                <w:b/>
                <w:u w:val="single"/>
              </w:rPr>
            </w:pPr>
            <w:r w:rsidRPr="00431888">
              <w:rPr>
                <w:rFonts w:ascii="Arial" w:hAnsi="Arial" w:cs="Arial"/>
                <w:b/>
                <w:u w:val="single"/>
              </w:rPr>
              <w:t>Responsibilities</w:t>
            </w:r>
            <w:r w:rsidR="00431888" w:rsidRPr="00431888">
              <w:rPr>
                <w:rFonts w:ascii="Arial" w:hAnsi="Arial" w:cs="Arial"/>
                <w:b/>
                <w:u w:val="single"/>
              </w:rPr>
              <w:t xml:space="preserve"> of Each Person within the Procedures</w:t>
            </w:r>
          </w:p>
          <w:p w:rsidR="00431888" w:rsidRPr="00431888" w:rsidRDefault="00431888" w:rsidP="00431888">
            <w:pPr>
              <w:rPr>
                <w:rFonts w:ascii="Arial" w:hAnsi="Arial" w:cs="Arial"/>
                <w:sz w:val="6"/>
                <w:szCs w:val="6"/>
              </w:rPr>
            </w:pPr>
          </w:p>
        </w:tc>
      </w:tr>
      <w:tr w:rsidR="00CC35B0" w:rsidRPr="00FA48EE" w:rsidTr="00A65977">
        <w:trPr>
          <w:trHeight w:val="411"/>
        </w:trPr>
        <w:tc>
          <w:tcPr>
            <w:tcW w:w="8075" w:type="dxa"/>
            <w:gridSpan w:val="2"/>
            <w:shd w:val="clear" w:color="auto" w:fill="D9D9D9" w:themeFill="background1" w:themeFillShade="D9"/>
            <w:vAlign w:val="center"/>
          </w:tcPr>
          <w:p w:rsidR="00CC35B0" w:rsidRPr="00FA48EE" w:rsidRDefault="00CC35B0" w:rsidP="00A65977">
            <w:pPr>
              <w:rPr>
                <w:rFonts w:ascii="Arial" w:hAnsi="Arial" w:cs="Arial"/>
              </w:rPr>
            </w:pPr>
            <w:r w:rsidRPr="00FA48EE">
              <w:rPr>
                <w:rFonts w:ascii="Arial" w:hAnsi="Arial" w:cs="Arial"/>
                <w:b/>
              </w:rPr>
              <w:t>Category/Person</w:t>
            </w:r>
          </w:p>
        </w:tc>
        <w:tc>
          <w:tcPr>
            <w:tcW w:w="6237" w:type="dxa"/>
            <w:shd w:val="clear" w:color="auto" w:fill="D9D9D9" w:themeFill="background1" w:themeFillShade="D9"/>
            <w:vAlign w:val="center"/>
          </w:tcPr>
          <w:p w:rsidR="00CC35B0" w:rsidRPr="00FA48EE" w:rsidRDefault="00CC35B0" w:rsidP="00A65977">
            <w:pPr>
              <w:rPr>
                <w:rFonts w:ascii="Arial" w:hAnsi="Arial" w:cs="Arial"/>
                <w:b/>
              </w:rPr>
            </w:pPr>
            <w:r w:rsidRPr="00FA48EE">
              <w:rPr>
                <w:rFonts w:ascii="Arial" w:hAnsi="Arial" w:cs="Arial"/>
                <w:b/>
              </w:rPr>
              <w:t>Additional notes</w:t>
            </w:r>
          </w:p>
        </w:tc>
      </w:tr>
      <w:tr w:rsidR="00CC35B0" w:rsidRPr="00FA48EE" w:rsidTr="009230E7">
        <w:tc>
          <w:tcPr>
            <w:tcW w:w="2830" w:type="dxa"/>
          </w:tcPr>
          <w:p w:rsidR="00CC35B0" w:rsidRPr="00FA48EE" w:rsidRDefault="00F67EBD" w:rsidP="009230E7">
            <w:pPr>
              <w:rPr>
                <w:rFonts w:ascii="Arial" w:hAnsi="Arial" w:cs="Arial"/>
                <w:b/>
              </w:rPr>
            </w:pPr>
            <w:r w:rsidRPr="00FA48EE">
              <w:rPr>
                <w:rFonts w:ascii="Arial" w:hAnsi="Arial" w:cs="Arial"/>
                <w:b/>
              </w:rPr>
              <w:t>Board</w:t>
            </w:r>
            <w:r w:rsidR="00A65977">
              <w:rPr>
                <w:rFonts w:ascii="Arial" w:hAnsi="Arial" w:cs="Arial"/>
                <w:b/>
              </w:rPr>
              <w:t>:</w:t>
            </w:r>
          </w:p>
        </w:tc>
        <w:tc>
          <w:tcPr>
            <w:tcW w:w="5245" w:type="dxa"/>
          </w:tcPr>
          <w:p w:rsidR="00CC35B0" w:rsidRPr="00FA48EE" w:rsidRDefault="005849BA" w:rsidP="00462079">
            <w:pPr>
              <w:rPr>
                <w:rFonts w:ascii="Arial" w:hAnsi="Arial" w:cs="Arial"/>
              </w:rPr>
            </w:pPr>
            <w:r w:rsidRPr="00FA48EE">
              <w:rPr>
                <w:rFonts w:ascii="Arial" w:hAnsi="Arial" w:cs="Arial"/>
              </w:rPr>
              <w:t xml:space="preserve">The </w:t>
            </w:r>
            <w:r w:rsidR="00F67EBD" w:rsidRPr="00FA48EE">
              <w:rPr>
                <w:rFonts w:ascii="Arial" w:hAnsi="Arial" w:cs="Arial"/>
              </w:rPr>
              <w:t>Board</w:t>
            </w:r>
            <w:r w:rsidR="00CC35B0" w:rsidRPr="00FA48EE">
              <w:rPr>
                <w:rFonts w:ascii="Arial" w:hAnsi="Arial" w:cs="Arial"/>
              </w:rPr>
              <w:t xml:space="preserve"> has overall r</w:t>
            </w:r>
            <w:r w:rsidR="00A65977">
              <w:rPr>
                <w:rFonts w:ascii="Arial" w:hAnsi="Arial" w:cs="Arial"/>
              </w:rPr>
              <w:t xml:space="preserve">esponsibility for ensuring </w:t>
            </w:r>
            <w:r w:rsidR="00CC35B0" w:rsidRPr="00FA48EE">
              <w:rPr>
                <w:rFonts w:ascii="Arial" w:hAnsi="Arial" w:cs="Arial"/>
              </w:rPr>
              <w:t>the NGB complies with its legal obligations.</w:t>
            </w:r>
            <w:r w:rsidRPr="00FA48EE">
              <w:rPr>
                <w:rFonts w:ascii="Arial" w:hAnsi="Arial" w:cs="Arial"/>
              </w:rPr>
              <w:t xml:space="preserve"> The </w:t>
            </w:r>
            <w:r w:rsidR="00CC35B0" w:rsidRPr="00FA48EE">
              <w:rPr>
                <w:rFonts w:ascii="Arial" w:hAnsi="Arial" w:cs="Arial"/>
              </w:rPr>
              <w:t>NGB needs to agree who (</w:t>
            </w:r>
            <w:r w:rsidRPr="00FA48EE">
              <w:rPr>
                <w:rFonts w:ascii="Arial" w:hAnsi="Arial" w:cs="Arial"/>
              </w:rPr>
              <w:t xml:space="preserve">there </w:t>
            </w:r>
            <w:r w:rsidR="00CC35B0" w:rsidRPr="00FA48EE">
              <w:rPr>
                <w:rFonts w:ascii="Arial" w:hAnsi="Arial" w:cs="Arial"/>
              </w:rPr>
              <w:t>can be more than one</w:t>
            </w:r>
            <w:r w:rsidR="00F67EBD" w:rsidRPr="00FA48EE">
              <w:rPr>
                <w:rFonts w:ascii="Arial" w:hAnsi="Arial" w:cs="Arial"/>
              </w:rPr>
              <w:t>) will be the named Data C</w:t>
            </w:r>
            <w:r w:rsidR="00CC35B0" w:rsidRPr="00FA48EE">
              <w:rPr>
                <w:rFonts w:ascii="Arial" w:hAnsi="Arial" w:cs="Arial"/>
              </w:rPr>
              <w:t xml:space="preserve">ontroller </w:t>
            </w:r>
            <w:r w:rsidR="00462079">
              <w:rPr>
                <w:rFonts w:ascii="Arial" w:hAnsi="Arial" w:cs="Arial"/>
              </w:rPr>
              <w:t xml:space="preserve">(s) </w:t>
            </w:r>
            <w:r w:rsidR="00CC35B0" w:rsidRPr="00FA48EE">
              <w:rPr>
                <w:rFonts w:ascii="Arial" w:hAnsi="Arial" w:cs="Arial"/>
              </w:rPr>
              <w:t>– this is important if register</w:t>
            </w:r>
            <w:r w:rsidR="00462079">
              <w:rPr>
                <w:rFonts w:ascii="Arial" w:hAnsi="Arial" w:cs="Arial"/>
              </w:rPr>
              <w:t>ing</w:t>
            </w:r>
            <w:r w:rsidR="00CC35B0" w:rsidRPr="00FA48EE">
              <w:rPr>
                <w:rFonts w:ascii="Arial" w:hAnsi="Arial" w:cs="Arial"/>
              </w:rPr>
              <w:t xml:space="preserve"> with the ICO</w:t>
            </w:r>
            <w:r w:rsidR="00A65977">
              <w:rPr>
                <w:rFonts w:ascii="Arial" w:hAnsi="Arial" w:cs="Arial"/>
              </w:rPr>
              <w:t xml:space="preserve"> </w:t>
            </w:r>
          </w:p>
        </w:tc>
        <w:tc>
          <w:tcPr>
            <w:tcW w:w="6237" w:type="dxa"/>
          </w:tcPr>
          <w:p w:rsidR="00CC35B0" w:rsidRPr="00FA48EE" w:rsidRDefault="00CC35B0" w:rsidP="009230E7">
            <w:pPr>
              <w:rPr>
                <w:rFonts w:ascii="Arial" w:hAnsi="Arial" w:cs="Arial"/>
                <w:color w:val="FF0000"/>
              </w:rPr>
            </w:pPr>
            <w:r w:rsidRPr="00FA48EE">
              <w:rPr>
                <w:rFonts w:ascii="Arial" w:hAnsi="Arial" w:cs="Arial"/>
                <w:color w:val="FF0000"/>
              </w:rPr>
              <w:t xml:space="preserve">Include details in the </w:t>
            </w:r>
            <w:r w:rsidR="00F67EBD" w:rsidRPr="00FA48EE">
              <w:rPr>
                <w:rFonts w:ascii="Arial" w:hAnsi="Arial" w:cs="Arial"/>
                <w:color w:val="FF0000"/>
              </w:rPr>
              <w:t>Board</w:t>
            </w:r>
            <w:r w:rsidRPr="00FA48EE">
              <w:rPr>
                <w:rFonts w:ascii="Arial" w:hAnsi="Arial" w:cs="Arial"/>
                <w:color w:val="FF0000"/>
              </w:rPr>
              <w:t xml:space="preserve"> annual delegation authority</w:t>
            </w:r>
          </w:p>
          <w:p w:rsidR="00F67EBD" w:rsidRPr="00FA48EE" w:rsidRDefault="00F67EBD" w:rsidP="009230E7">
            <w:pPr>
              <w:rPr>
                <w:rFonts w:ascii="Arial" w:hAnsi="Arial" w:cs="Arial"/>
                <w:color w:val="FF0000"/>
              </w:rPr>
            </w:pPr>
          </w:p>
          <w:p w:rsidR="00F67EBD" w:rsidRPr="00FA48EE" w:rsidRDefault="00CC3EA8" w:rsidP="009230E7">
            <w:pPr>
              <w:rPr>
                <w:rFonts w:ascii="Arial" w:hAnsi="Arial" w:cs="Arial"/>
                <w:color w:val="FF0000"/>
              </w:rPr>
            </w:pPr>
            <w:r w:rsidRPr="00FA48EE">
              <w:rPr>
                <w:rFonts w:ascii="Arial" w:hAnsi="Arial" w:cs="Arial"/>
                <w:color w:val="FF0000"/>
              </w:rPr>
              <w:t xml:space="preserve">Information Commissioners Office website: </w:t>
            </w:r>
            <w:r w:rsidR="00F67EBD" w:rsidRPr="00FA48EE">
              <w:rPr>
                <w:rFonts w:ascii="Arial" w:hAnsi="Arial" w:cs="Arial"/>
                <w:color w:val="FF0000"/>
              </w:rPr>
              <w:t>https://ico.org.uk/for-organisations/</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Data Controller</w:t>
            </w:r>
            <w:r w:rsidR="00A65977">
              <w:rPr>
                <w:rFonts w:ascii="Arial" w:hAnsi="Arial" w:cs="Arial"/>
                <w:b/>
              </w:rPr>
              <w:t>:</w:t>
            </w:r>
          </w:p>
        </w:tc>
        <w:tc>
          <w:tcPr>
            <w:tcW w:w="5245" w:type="dxa"/>
          </w:tcPr>
          <w:p w:rsidR="00CC35B0" w:rsidRPr="00FA48EE" w:rsidRDefault="00CC35B0" w:rsidP="009230E7">
            <w:pPr>
              <w:rPr>
                <w:rFonts w:ascii="Arial" w:hAnsi="Arial" w:cs="Arial"/>
              </w:rPr>
            </w:pPr>
            <w:r w:rsidRPr="00FA48EE">
              <w:rPr>
                <w:rFonts w:ascii="Arial" w:hAnsi="Arial" w:cs="Arial"/>
              </w:rPr>
              <w:t>The responsibilities of the Data Controller include:</w:t>
            </w:r>
          </w:p>
          <w:p w:rsidR="00CC35B0" w:rsidRPr="00FA48EE" w:rsidRDefault="00CC35B0" w:rsidP="00CC35B0">
            <w:pPr>
              <w:pStyle w:val="ListParagraph"/>
              <w:numPr>
                <w:ilvl w:val="0"/>
                <w:numId w:val="25"/>
              </w:numPr>
              <w:rPr>
                <w:rFonts w:ascii="Arial" w:hAnsi="Arial" w:cs="Arial"/>
              </w:rPr>
            </w:pPr>
            <w:r w:rsidRPr="00FA48EE">
              <w:rPr>
                <w:rFonts w:ascii="Arial" w:hAnsi="Arial" w:cs="Arial"/>
              </w:rPr>
              <w:t xml:space="preserve">Briefing the </w:t>
            </w:r>
            <w:r w:rsidR="00F67EBD" w:rsidRPr="00FA48EE">
              <w:rPr>
                <w:rFonts w:ascii="Arial" w:hAnsi="Arial" w:cs="Arial"/>
              </w:rPr>
              <w:t>Board</w:t>
            </w:r>
            <w:r w:rsidRPr="00FA48EE">
              <w:rPr>
                <w:rFonts w:ascii="Arial" w:hAnsi="Arial" w:cs="Arial"/>
              </w:rPr>
              <w:t xml:space="preserve"> on </w:t>
            </w:r>
            <w:r w:rsidR="0063373D" w:rsidRPr="00FA48EE">
              <w:rPr>
                <w:rFonts w:ascii="Arial" w:hAnsi="Arial" w:cs="Arial"/>
              </w:rPr>
              <w:t>Data Protection matters</w:t>
            </w:r>
          </w:p>
          <w:p w:rsidR="00CC35B0" w:rsidRPr="00FA48EE" w:rsidRDefault="00CC35B0" w:rsidP="00CC35B0">
            <w:pPr>
              <w:pStyle w:val="ListParagraph"/>
              <w:numPr>
                <w:ilvl w:val="0"/>
                <w:numId w:val="25"/>
              </w:numPr>
              <w:rPr>
                <w:rFonts w:ascii="Arial" w:hAnsi="Arial" w:cs="Arial"/>
              </w:rPr>
            </w:pPr>
            <w:r w:rsidRPr="00FA48EE">
              <w:rPr>
                <w:rFonts w:ascii="Arial" w:hAnsi="Arial" w:cs="Arial"/>
              </w:rPr>
              <w:t>Reviewing Data Protection and related policies</w:t>
            </w:r>
          </w:p>
          <w:p w:rsidR="00CC35B0" w:rsidRPr="00FA48EE" w:rsidRDefault="00CC35B0" w:rsidP="00CC35B0">
            <w:pPr>
              <w:pStyle w:val="ListParagraph"/>
              <w:numPr>
                <w:ilvl w:val="0"/>
                <w:numId w:val="25"/>
              </w:numPr>
              <w:rPr>
                <w:rFonts w:ascii="Arial" w:hAnsi="Arial" w:cs="Arial"/>
              </w:rPr>
            </w:pPr>
            <w:r w:rsidRPr="00FA48EE">
              <w:rPr>
                <w:rFonts w:ascii="Arial" w:hAnsi="Arial" w:cs="Arial"/>
              </w:rPr>
              <w:t>Advising other staff/volunteers on tricky Data Protection issues</w:t>
            </w:r>
          </w:p>
          <w:p w:rsidR="00CC35B0" w:rsidRPr="00FA48EE" w:rsidRDefault="00CC35B0" w:rsidP="00CC35B0">
            <w:pPr>
              <w:pStyle w:val="ListParagraph"/>
              <w:numPr>
                <w:ilvl w:val="0"/>
                <w:numId w:val="25"/>
              </w:numPr>
              <w:rPr>
                <w:rFonts w:ascii="Arial" w:hAnsi="Arial" w:cs="Arial"/>
              </w:rPr>
            </w:pPr>
            <w:r w:rsidRPr="00FA48EE">
              <w:rPr>
                <w:rFonts w:ascii="Arial" w:hAnsi="Arial" w:cs="Arial"/>
              </w:rPr>
              <w:t xml:space="preserve">Ensuring that Data Protection induction and </w:t>
            </w:r>
            <w:r w:rsidRPr="00FA48EE">
              <w:rPr>
                <w:rFonts w:ascii="Arial" w:hAnsi="Arial" w:cs="Arial"/>
              </w:rPr>
              <w:lastRenderedPageBreak/>
              <w:t>training takes place if deemed necessary</w:t>
            </w:r>
          </w:p>
          <w:p w:rsidR="00CC35B0" w:rsidRPr="00FA48EE" w:rsidRDefault="00CC35B0" w:rsidP="00CC35B0">
            <w:pPr>
              <w:pStyle w:val="ListParagraph"/>
              <w:numPr>
                <w:ilvl w:val="0"/>
                <w:numId w:val="25"/>
              </w:numPr>
              <w:rPr>
                <w:rFonts w:ascii="Arial" w:hAnsi="Arial" w:cs="Arial"/>
              </w:rPr>
            </w:pPr>
            <w:r w:rsidRPr="00FA48EE">
              <w:rPr>
                <w:rFonts w:ascii="Arial" w:hAnsi="Arial" w:cs="Arial"/>
              </w:rPr>
              <w:t>Handling subject access requests</w:t>
            </w:r>
          </w:p>
          <w:p w:rsidR="00CC35B0" w:rsidRPr="00FA48EE" w:rsidRDefault="00CC35B0" w:rsidP="00CC35B0">
            <w:pPr>
              <w:pStyle w:val="ListParagraph"/>
              <w:numPr>
                <w:ilvl w:val="0"/>
                <w:numId w:val="25"/>
              </w:numPr>
              <w:rPr>
                <w:rFonts w:ascii="Arial" w:hAnsi="Arial" w:cs="Arial"/>
              </w:rPr>
            </w:pPr>
            <w:r w:rsidRPr="00FA48EE">
              <w:rPr>
                <w:rFonts w:ascii="Arial" w:hAnsi="Arial" w:cs="Arial"/>
              </w:rPr>
              <w:t>Approving unusual or controversial disclosures of personal data</w:t>
            </w:r>
          </w:p>
          <w:p w:rsidR="00CC35B0" w:rsidRPr="00FA48EE" w:rsidRDefault="00CC35B0" w:rsidP="00CC35B0">
            <w:pPr>
              <w:pStyle w:val="ListParagraph"/>
              <w:numPr>
                <w:ilvl w:val="0"/>
                <w:numId w:val="25"/>
              </w:numPr>
              <w:rPr>
                <w:rFonts w:ascii="Arial" w:hAnsi="Arial" w:cs="Arial"/>
              </w:rPr>
            </w:pPr>
            <w:r w:rsidRPr="00FA48EE">
              <w:rPr>
                <w:rFonts w:ascii="Arial" w:hAnsi="Arial" w:cs="Arial"/>
              </w:rPr>
              <w:t xml:space="preserve">Approving use of data by other Data Processors </w:t>
            </w:r>
          </w:p>
        </w:tc>
        <w:tc>
          <w:tcPr>
            <w:tcW w:w="6237" w:type="dxa"/>
          </w:tcPr>
          <w:p w:rsidR="00CC35B0" w:rsidRPr="00FA48EE" w:rsidRDefault="00CC35B0" w:rsidP="009230E7">
            <w:pPr>
              <w:rPr>
                <w:rFonts w:ascii="Arial" w:hAnsi="Arial" w:cs="Arial"/>
                <w:color w:val="FF0000"/>
              </w:rPr>
            </w:pPr>
            <w:r w:rsidRPr="00FA48EE">
              <w:rPr>
                <w:rFonts w:ascii="Arial" w:hAnsi="Arial" w:cs="Arial"/>
                <w:color w:val="FF0000"/>
              </w:rPr>
              <w:lastRenderedPageBreak/>
              <w:t>If requested, the Data Controller must comply with a police authority to provide required details</w:t>
            </w:r>
          </w:p>
          <w:p w:rsidR="00CC35B0" w:rsidRPr="00FA48EE" w:rsidRDefault="00CC35B0" w:rsidP="009230E7">
            <w:pPr>
              <w:rPr>
                <w:rFonts w:ascii="Arial" w:hAnsi="Arial" w:cs="Arial"/>
                <w:color w:val="FF0000"/>
              </w:rPr>
            </w:pPr>
          </w:p>
          <w:p w:rsidR="005849BA" w:rsidRPr="00FA48EE" w:rsidRDefault="005849BA" w:rsidP="009230E7">
            <w:pPr>
              <w:rPr>
                <w:rFonts w:ascii="Arial" w:hAnsi="Arial" w:cs="Arial"/>
                <w:color w:val="FF0000"/>
              </w:rPr>
            </w:pPr>
            <w:r w:rsidRPr="00FA48EE">
              <w:rPr>
                <w:rFonts w:ascii="Arial" w:hAnsi="Arial" w:cs="Arial"/>
                <w:color w:val="FF0000"/>
              </w:rPr>
              <w:t xml:space="preserve">The Data Controller may be the CEO or similar with the data processors being admin staff or similar. Some individuals may have access to small amounts of specific data e.g. a </w:t>
            </w:r>
            <w:r w:rsidRPr="00FA48EE">
              <w:rPr>
                <w:rFonts w:ascii="Arial" w:hAnsi="Arial" w:cs="Arial"/>
                <w:color w:val="FF0000"/>
              </w:rPr>
              <w:lastRenderedPageBreak/>
              <w:t>team manager most likely will hold information about athletes</w:t>
            </w:r>
          </w:p>
          <w:p w:rsidR="009E78AB" w:rsidRPr="00FA48EE" w:rsidRDefault="009E78AB" w:rsidP="009230E7">
            <w:pPr>
              <w:rPr>
                <w:rFonts w:ascii="Arial" w:hAnsi="Arial" w:cs="Arial"/>
                <w:color w:val="FF0000"/>
              </w:rPr>
            </w:pPr>
          </w:p>
          <w:p w:rsidR="009E78AB" w:rsidRPr="00FA48EE" w:rsidRDefault="009E78AB" w:rsidP="009E78AB">
            <w:pPr>
              <w:rPr>
                <w:rFonts w:ascii="Arial" w:hAnsi="Arial" w:cs="Arial"/>
                <w:color w:val="FF0000"/>
              </w:rPr>
            </w:pPr>
            <w:r w:rsidRPr="00FA48EE">
              <w:rPr>
                <w:rFonts w:ascii="Arial" w:hAnsi="Arial" w:cs="Arial"/>
                <w:color w:val="FF0000"/>
              </w:rPr>
              <w:t xml:space="preserve">If the membership data is stored by another organisation e.g. UK Governing Body then ensure you are fully aware of their data management policy and procedures and how the data provided to your NGB fits within them </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lastRenderedPageBreak/>
              <w:t>Website Manager</w:t>
            </w:r>
            <w:r w:rsidR="00A65977">
              <w:rPr>
                <w:rFonts w:ascii="Arial" w:hAnsi="Arial" w:cs="Arial"/>
                <w:b/>
              </w:rPr>
              <w:t>:</w:t>
            </w:r>
          </w:p>
        </w:tc>
        <w:tc>
          <w:tcPr>
            <w:tcW w:w="5245" w:type="dxa"/>
          </w:tcPr>
          <w:p w:rsidR="00CC35B0" w:rsidRPr="00FA48EE" w:rsidRDefault="00CC35B0" w:rsidP="009230E7">
            <w:pPr>
              <w:rPr>
                <w:rFonts w:ascii="Arial" w:hAnsi="Arial" w:cs="Arial"/>
              </w:rPr>
            </w:pPr>
            <w:r w:rsidRPr="00FA48EE">
              <w:rPr>
                <w:rFonts w:ascii="Arial" w:hAnsi="Arial" w:cs="Arial"/>
              </w:rPr>
              <w:t xml:space="preserve">Where personal data is handled via the website or similar such as online affiliation, the Website Manager should be responsible for electronic security and for approving any Data Protection related statements on web materials  </w:t>
            </w:r>
          </w:p>
        </w:tc>
        <w:tc>
          <w:tcPr>
            <w:tcW w:w="6237" w:type="dxa"/>
          </w:tcPr>
          <w:p w:rsidR="00CC35B0" w:rsidRPr="008C6989" w:rsidRDefault="00CC35B0" w:rsidP="009230E7">
            <w:pPr>
              <w:rPr>
                <w:rFonts w:ascii="Arial" w:hAnsi="Arial" w:cs="Arial"/>
                <w:color w:val="FF0000"/>
              </w:rPr>
            </w:pPr>
            <w:r w:rsidRPr="008C6989">
              <w:rPr>
                <w:rFonts w:ascii="Arial" w:hAnsi="Arial" w:cs="Arial"/>
                <w:color w:val="FF0000"/>
              </w:rPr>
              <w:t xml:space="preserve">e.g. </w:t>
            </w:r>
            <w:r w:rsidR="00BF26BA" w:rsidRPr="008C6989">
              <w:rPr>
                <w:rFonts w:ascii="Arial" w:hAnsi="Arial" w:cs="Arial"/>
                <w:color w:val="FF0000"/>
              </w:rPr>
              <w:t xml:space="preserve">limit access via a </w:t>
            </w:r>
            <w:r w:rsidRPr="008C6989">
              <w:rPr>
                <w:rFonts w:ascii="Arial" w:hAnsi="Arial" w:cs="Arial"/>
                <w:color w:val="FF0000"/>
              </w:rPr>
              <w:t xml:space="preserve">secure part of </w:t>
            </w:r>
            <w:r w:rsidR="00BF26BA" w:rsidRPr="008C6989">
              <w:rPr>
                <w:rFonts w:ascii="Arial" w:hAnsi="Arial" w:cs="Arial"/>
                <w:color w:val="FF0000"/>
              </w:rPr>
              <w:t xml:space="preserve">the </w:t>
            </w:r>
            <w:r w:rsidRPr="008C6989">
              <w:rPr>
                <w:rFonts w:ascii="Arial" w:hAnsi="Arial" w:cs="Arial"/>
                <w:color w:val="FF0000"/>
              </w:rPr>
              <w:t>site – password protection, issue of logins etc.</w:t>
            </w:r>
          </w:p>
        </w:tc>
      </w:tr>
      <w:tr w:rsidR="00CC35B0" w:rsidRPr="00FA48EE" w:rsidTr="009230E7">
        <w:tc>
          <w:tcPr>
            <w:tcW w:w="2830" w:type="dxa"/>
          </w:tcPr>
          <w:p w:rsidR="00CC35B0" w:rsidRPr="00FA48EE" w:rsidRDefault="00CC35B0" w:rsidP="009230E7">
            <w:pPr>
              <w:rPr>
                <w:rFonts w:ascii="Arial" w:hAnsi="Arial" w:cs="Arial"/>
                <w:b/>
              </w:rPr>
            </w:pPr>
            <w:r w:rsidRPr="00FA48EE">
              <w:rPr>
                <w:rFonts w:ascii="Arial" w:hAnsi="Arial" w:cs="Arial"/>
                <w:b/>
              </w:rPr>
              <w:t>Managers of Athletes</w:t>
            </w:r>
            <w:r w:rsidR="00A65977">
              <w:rPr>
                <w:rFonts w:ascii="Arial" w:hAnsi="Arial" w:cs="Arial"/>
                <w:b/>
              </w:rPr>
              <w:t>:</w:t>
            </w:r>
          </w:p>
        </w:tc>
        <w:tc>
          <w:tcPr>
            <w:tcW w:w="5245" w:type="dxa"/>
          </w:tcPr>
          <w:p w:rsidR="00CC35B0" w:rsidRPr="00FA48EE" w:rsidRDefault="00CC35B0" w:rsidP="009230E7">
            <w:pPr>
              <w:rPr>
                <w:rFonts w:ascii="Arial" w:hAnsi="Arial" w:cs="Arial"/>
              </w:rPr>
            </w:pPr>
            <w:r w:rsidRPr="00FA48EE">
              <w:rPr>
                <w:rFonts w:ascii="Arial" w:hAnsi="Arial" w:cs="Arial"/>
              </w:rPr>
              <w:t xml:space="preserve">All volunteer and/or paid Managers should be required to read, understand and accept any policies and procedures that relate to the personal data they may handle in the course of their duties for </w:t>
            </w:r>
            <w:r w:rsidR="00BF26BA" w:rsidRPr="00FA48EE">
              <w:rPr>
                <w:rFonts w:ascii="Arial" w:hAnsi="Arial" w:cs="Arial"/>
              </w:rPr>
              <w:t xml:space="preserve">the </w:t>
            </w:r>
            <w:r w:rsidRPr="00FA48EE">
              <w:rPr>
                <w:rFonts w:ascii="Arial" w:hAnsi="Arial" w:cs="Arial"/>
              </w:rPr>
              <w:t xml:space="preserve">NGB.  </w:t>
            </w:r>
            <w:r w:rsidRPr="00FA48EE">
              <w:rPr>
                <w:rFonts w:ascii="Arial" w:hAnsi="Arial" w:cs="Arial"/>
              </w:rPr>
              <w:tab/>
            </w:r>
          </w:p>
          <w:p w:rsidR="00CC35B0" w:rsidRPr="00FA48EE" w:rsidRDefault="00CC35B0" w:rsidP="009230E7">
            <w:pPr>
              <w:rPr>
                <w:rFonts w:ascii="Arial" w:hAnsi="Arial" w:cs="Arial"/>
              </w:rPr>
            </w:pPr>
            <w:r w:rsidRPr="00FA48EE">
              <w:rPr>
                <w:rFonts w:ascii="Arial" w:hAnsi="Arial" w:cs="Arial"/>
              </w:rPr>
              <w:t>This may include athletes’ names, addresses and other contact details as well as medical information.</w:t>
            </w:r>
          </w:p>
        </w:tc>
        <w:tc>
          <w:tcPr>
            <w:tcW w:w="6237" w:type="dxa"/>
          </w:tcPr>
          <w:p w:rsidR="00CC35B0" w:rsidRPr="00FA48EE" w:rsidRDefault="00BF26BA" w:rsidP="00BF26BA">
            <w:pPr>
              <w:rPr>
                <w:rFonts w:ascii="Arial" w:hAnsi="Arial" w:cs="Arial"/>
                <w:color w:val="FF0000"/>
              </w:rPr>
            </w:pPr>
            <w:r w:rsidRPr="00FA48EE">
              <w:rPr>
                <w:rFonts w:ascii="Arial" w:hAnsi="Arial" w:cs="Arial"/>
                <w:color w:val="FF0000"/>
              </w:rPr>
              <w:t xml:space="preserve">Managing the people who hold, collate or access the data outside of the “office” e.g. </w:t>
            </w:r>
            <w:r w:rsidR="00CC35B0" w:rsidRPr="00FA48EE">
              <w:rPr>
                <w:rFonts w:ascii="Arial" w:hAnsi="Arial" w:cs="Arial"/>
                <w:color w:val="FF0000"/>
              </w:rPr>
              <w:t>All athlete managers (e.g. coaches, physio/doctors, Chair</w:t>
            </w:r>
            <w:r w:rsidRPr="00FA48EE">
              <w:rPr>
                <w:rFonts w:ascii="Arial" w:hAnsi="Arial" w:cs="Arial"/>
                <w:color w:val="FF0000"/>
              </w:rPr>
              <w:t>s</w:t>
            </w:r>
            <w:r w:rsidR="00CC35B0" w:rsidRPr="00FA48EE">
              <w:rPr>
                <w:rFonts w:ascii="Arial" w:hAnsi="Arial" w:cs="Arial"/>
                <w:color w:val="FF0000"/>
              </w:rPr>
              <w:t xml:space="preserve"> of Committees etc.)</w:t>
            </w:r>
            <w:r w:rsidR="008C6989">
              <w:rPr>
                <w:rFonts w:ascii="Arial" w:hAnsi="Arial" w:cs="Arial"/>
                <w:color w:val="FF0000"/>
              </w:rPr>
              <w:t>. They</w:t>
            </w:r>
            <w:r w:rsidR="00CC35B0" w:rsidRPr="00FA48EE">
              <w:rPr>
                <w:rFonts w:ascii="Arial" w:hAnsi="Arial" w:cs="Arial"/>
                <w:color w:val="FF0000"/>
              </w:rPr>
              <w:t xml:space="preserve"> </w:t>
            </w:r>
            <w:r w:rsidRPr="00FA48EE">
              <w:rPr>
                <w:rFonts w:ascii="Arial" w:hAnsi="Arial" w:cs="Arial"/>
                <w:color w:val="FF0000"/>
              </w:rPr>
              <w:t>should be required</w:t>
            </w:r>
            <w:r w:rsidR="00CC35B0" w:rsidRPr="00FA48EE">
              <w:rPr>
                <w:rFonts w:ascii="Arial" w:hAnsi="Arial" w:cs="Arial"/>
                <w:color w:val="FF0000"/>
              </w:rPr>
              <w:t xml:space="preserve"> to read, understand and accept any policies and procedures that relate to the personal data they may handle in the course of their duties. </w:t>
            </w:r>
            <w:r w:rsidRPr="00FA48EE">
              <w:rPr>
                <w:rFonts w:ascii="Arial" w:hAnsi="Arial" w:cs="Arial"/>
                <w:color w:val="FF0000"/>
              </w:rPr>
              <w:t>It might be good practice to obtain signatures to that effect.</w:t>
            </w:r>
          </w:p>
        </w:tc>
      </w:tr>
      <w:tr w:rsidR="00CC35B0" w:rsidRPr="00CB0C86" w:rsidTr="009230E7">
        <w:tc>
          <w:tcPr>
            <w:tcW w:w="2830" w:type="dxa"/>
          </w:tcPr>
          <w:p w:rsidR="008C6989" w:rsidRDefault="00CC35B0" w:rsidP="009230E7">
            <w:pPr>
              <w:rPr>
                <w:rFonts w:ascii="Arial" w:hAnsi="Arial" w:cs="Arial"/>
                <w:b/>
              </w:rPr>
            </w:pPr>
            <w:r w:rsidRPr="00FA48EE">
              <w:rPr>
                <w:rFonts w:ascii="Arial" w:hAnsi="Arial" w:cs="Arial"/>
                <w:b/>
              </w:rPr>
              <w:t>Child Protection Officer</w:t>
            </w:r>
            <w:r w:rsidR="00A65977">
              <w:rPr>
                <w:rFonts w:ascii="Arial" w:hAnsi="Arial" w:cs="Arial"/>
                <w:b/>
              </w:rPr>
              <w:t>:</w:t>
            </w:r>
          </w:p>
          <w:p w:rsidR="008C6989" w:rsidRPr="008C6989" w:rsidRDefault="008C6989" w:rsidP="008C6989">
            <w:pPr>
              <w:rPr>
                <w:rFonts w:ascii="Arial" w:hAnsi="Arial" w:cs="Arial"/>
              </w:rPr>
            </w:pPr>
          </w:p>
          <w:p w:rsidR="008C6989" w:rsidRPr="008C6989" w:rsidRDefault="008C6989" w:rsidP="008C6989">
            <w:pPr>
              <w:rPr>
                <w:rFonts w:ascii="Arial" w:hAnsi="Arial" w:cs="Arial"/>
              </w:rPr>
            </w:pPr>
          </w:p>
          <w:p w:rsidR="008C6989" w:rsidRPr="008C6989" w:rsidRDefault="008C6989" w:rsidP="008C6989">
            <w:pPr>
              <w:rPr>
                <w:rFonts w:ascii="Arial" w:hAnsi="Arial" w:cs="Arial"/>
              </w:rPr>
            </w:pPr>
          </w:p>
          <w:p w:rsidR="00CC35B0" w:rsidRPr="008C6989" w:rsidRDefault="00CC35B0" w:rsidP="008C6989">
            <w:pPr>
              <w:jc w:val="right"/>
              <w:rPr>
                <w:rFonts w:ascii="Arial" w:hAnsi="Arial" w:cs="Arial"/>
              </w:rPr>
            </w:pPr>
          </w:p>
        </w:tc>
        <w:tc>
          <w:tcPr>
            <w:tcW w:w="5245" w:type="dxa"/>
          </w:tcPr>
          <w:p w:rsidR="00CC35B0" w:rsidRPr="00FA48EE" w:rsidRDefault="00D92A45" w:rsidP="009230E7">
            <w:pPr>
              <w:rPr>
                <w:rFonts w:ascii="Arial" w:hAnsi="Arial" w:cs="Arial"/>
                <w:i/>
              </w:rPr>
            </w:pPr>
            <w:r w:rsidRPr="00FA48EE">
              <w:rPr>
                <w:rFonts w:ascii="Arial" w:hAnsi="Arial" w:cs="Arial"/>
              </w:rPr>
              <w:t xml:space="preserve">Make sure that when writing the policy and procedures reference is given </w:t>
            </w:r>
            <w:r w:rsidR="00CC35B0" w:rsidRPr="00FA48EE">
              <w:rPr>
                <w:rFonts w:ascii="Arial" w:hAnsi="Arial" w:cs="Arial"/>
              </w:rPr>
              <w:t>to NGB safeguarding information using suitable wording taken from the applicable regulations.</w:t>
            </w:r>
            <w:r w:rsidR="00CC35B0" w:rsidRPr="00FA48EE">
              <w:rPr>
                <w:rFonts w:ascii="Arial" w:hAnsi="Arial" w:cs="Arial"/>
                <w:i/>
              </w:rPr>
              <w:t xml:space="preserve"> </w:t>
            </w:r>
          </w:p>
          <w:p w:rsidR="00CC35B0" w:rsidRPr="00FA48EE" w:rsidRDefault="00CC35B0" w:rsidP="009230E7">
            <w:pPr>
              <w:rPr>
                <w:rFonts w:ascii="Arial" w:hAnsi="Arial" w:cs="Arial"/>
              </w:rPr>
            </w:pPr>
          </w:p>
        </w:tc>
        <w:tc>
          <w:tcPr>
            <w:tcW w:w="6237" w:type="dxa"/>
          </w:tcPr>
          <w:p w:rsidR="00CC35B0" w:rsidRPr="00FA48EE" w:rsidRDefault="00CC35B0" w:rsidP="009230E7">
            <w:pPr>
              <w:rPr>
                <w:rFonts w:ascii="Arial" w:hAnsi="Arial" w:cs="Arial"/>
              </w:rPr>
            </w:pPr>
            <w:r w:rsidRPr="00FA48EE">
              <w:rPr>
                <w:rFonts w:ascii="Arial" w:hAnsi="Arial" w:cs="Arial"/>
              </w:rPr>
              <w:t>Note about club welfare officers – link to GB/International websites if appropriate</w:t>
            </w:r>
          </w:p>
          <w:p w:rsidR="00D92A45" w:rsidRPr="00D92A45" w:rsidRDefault="00D92A45" w:rsidP="00D92A45">
            <w:pPr>
              <w:rPr>
                <w:rFonts w:ascii="Arial" w:hAnsi="Arial" w:cs="Arial"/>
                <w:i/>
                <w:color w:val="FF0000"/>
              </w:rPr>
            </w:pPr>
            <w:r w:rsidRPr="00FA48EE">
              <w:rPr>
                <w:rFonts w:ascii="Arial" w:hAnsi="Arial" w:cs="Arial"/>
                <w:i/>
                <w:color w:val="FF0000"/>
              </w:rPr>
              <w:t>To ensure that the safeguarding information in the data management process is kept up to date consider using a link to safeguarding on the NGB website rather than actual updating of the data management process document.</w:t>
            </w:r>
          </w:p>
        </w:tc>
      </w:tr>
      <w:tr w:rsidR="008C6989" w:rsidRPr="00CB0C86" w:rsidTr="008C6989">
        <w:trPr>
          <w:trHeight w:val="1090"/>
        </w:trPr>
        <w:tc>
          <w:tcPr>
            <w:tcW w:w="2830" w:type="dxa"/>
          </w:tcPr>
          <w:p w:rsidR="008C6989" w:rsidRPr="00FA48EE" w:rsidRDefault="008C6989" w:rsidP="009230E7">
            <w:pPr>
              <w:rPr>
                <w:rFonts w:ascii="Arial" w:hAnsi="Arial" w:cs="Arial"/>
                <w:b/>
              </w:rPr>
            </w:pPr>
            <w:r>
              <w:rPr>
                <w:rFonts w:ascii="Arial" w:hAnsi="Arial" w:cs="Arial"/>
                <w:b/>
              </w:rPr>
              <w:t xml:space="preserve">Members </w:t>
            </w:r>
          </w:p>
        </w:tc>
        <w:tc>
          <w:tcPr>
            <w:tcW w:w="5245" w:type="dxa"/>
          </w:tcPr>
          <w:p w:rsidR="008C6989" w:rsidRPr="00FA48EE" w:rsidRDefault="008C6989" w:rsidP="008C6989">
            <w:pPr>
              <w:rPr>
                <w:rFonts w:ascii="Arial" w:hAnsi="Arial" w:cs="Arial"/>
              </w:rPr>
            </w:pPr>
            <w:r>
              <w:rPr>
                <w:rFonts w:ascii="Arial" w:hAnsi="Arial" w:cs="Arial"/>
              </w:rPr>
              <w:t>It is good practice to encourage the NGB members to also be aware of the way they manage data, this can be very important if for example a club collates the data then passes it on to you. The original data must be accurate and the manner in which it is transferred should be secure.</w:t>
            </w:r>
          </w:p>
        </w:tc>
        <w:tc>
          <w:tcPr>
            <w:tcW w:w="6237" w:type="dxa"/>
          </w:tcPr>
          <w:p w:rsidR="008C6989" w:rsidRPr="008C6989" w:rsidRDefault="008C6989" w:rsidP="008C6989">
            <w:pPr>
              <w:rPr>
                <w:rFonts w:ascii="Arial" w:hAnsi="Arial" w:cs="Arial"/>
                <w:color w:val="FF0000"/>
              </w:rPr>
            </w:pPr>
            <w:r>
              <w:rPr>
                <w:rFonts w:ascii="Arial" w:hAnsi="Arial" w:cs="Arial"/>
                <w:color w:val="FF0000"/>
              </w:rPr>
              <w:t>The NGB may not want to be held responsible for the inaccurate d</w:t>
            </w:r>
            <w:r w:rsidR="00CE50FD">
              <w:rPr>
                <w:rFonts w:ascii="Arial" w:hAnsi="Arial" w:cs="Arial"/>
                <w:color w:val="FF0000"/>
              </w:rPr>
              <w:t>ata it receives from e.g. clubs. The design and management of club affiliation forms might need to be carefully worded.</w:t>
            </w:r>
          </w:p>
        </w:tc>
      </w:tr>
      <w:tr w:rsidR="00CE50FD" w:rsidRPr="00CB0C86" w:rsidTr="008C6989">
        <w:trPr>
          <w:trHeight w:val="1090"/>
        </w:trPr>
        <w:tc>
          <w:tcPr>
            <w:tcW w:w="2830" w:type="dxa"/>
          </w:tcPr>
          <w:p w:rsidR="00CE50FD" w:rsidRDefault="00CE50FD" w:rsidP="009230E7">
            <w:pPr>
              <w:rPr>
                <w:rFonts w:ascii="Arial" w:hAnsi="Arial" w:cs="Arial"/>
                <w:b/>
              </w:rPr>
            </w:pPr>
            <w:r>
              <w:rPr>
                <w:rFonts w:ascii="Arial" w:hAnsi="Arial" w:cs="Arial"/>
                <w:b/>
              </w:rPr>
              <w:lastRenderedPageBreak/>
              <w:t>Individuals</w:t>
            </w:r>
          </w:p>
        </w:tc>
        <w:tc>
          <w:tcPr>
            <w:tcW w:w="5245" w:type="dxa"/>
          </w:tcPr>
          <w:p w:rsidR="00CE50FD" w:rsidRDefault="00CE50FD" w:rsidP="008C6989">
            <w:pPr>
              <w:rPr>
                <w:rFonts w:ascii="Arial" w:hAnsi="Arial" w:cs="Arial"/>
              </w:rPr>
            </w:pPr>
            <w:r>
              <w:rPr>
                <w:rFonts w:ascii="Arial" w:hAnsi="Arial" w:cs="Arial"/>
              </w:rPr>
              <w:t xml:space="preserve">Responsibility for accurate individual data provision needs to be set as the responsibility of the individual who is giving the NGB their own personal data. </w:t>
            </w:r>
            <w:r w:rsidR="00A157A7">
              <w:rPr>
                <w:rFonts w:ascii="Arial" w:hAnsi="Arial" w:cs="Arial"/>
              </w:rPr>
              <w:t>Same applies to the changing of the data.</w:t>
            </w:r>
          </w:p>
        </w:tc>
        <w:tc>
          <w:tcPr>
            <w:tcW w:w="6237" w:type="dxa"/>
          </w:tcPr>
          <w:p w:rsidR="00CE50FD" w:rsidRPr="00CE50FD" w:rsidRDefault="00CE50FD" w:rsidP="00D40239">
            <w:pPr>
              <w:rPr>
                <w:rFonts w:ascii="Arial" w:hAnsi="Arial" w:cs="Arial"/>
                <w:color w:val="FF0000"/>
              </w:rPr>
            </w:pPr>
            <w:r>
              <w:rPr>
                <w:rFonts w:ascii="Arial" w:hAnsi="Arial" w:cs="Arial"/>
                <w:color w:val="FF0000"/>
              </w:rPr>
              <w:t>A mechanism for individuals to check their data before uploading to a website should be considered to reduce inaccuracy. Individuals should also be encouraged to advise of changes to e.g. email or address as soon as possible after the change as this ensures the NGB information held is up to date. Consider a</w:t>
            </w:r>
            <w:r w:rsidR="00D40239">
              <w:rPr>
                <w:rFonts w:ascii="Arial" w:hAnsi="Arial" w:cs="Arial"/>
                <w:color w:val="FF0000"/>
              </w:rPr>
              <w:t xml:space="preserve"> clause about the NGB not being responsible for out of date information if an individual fails to update their details.</w:t>
            </w:r>
          </w:p>
        </w:tc>
      </w:tr>
    </w:tbl>
    <w:p w:rsidR="00EA7D59" w:rsidRPr="00EF55D6" w:rsidRDefault="00EA7D59" w:rsidP="0041432F">
      <w:pPr>
        <w:spacing w:before="120" w:after="120"/>
        <w:jc w:val="both"/>
        <w:rPr>
          <w:rFonts w:ascii="Arial" w:hAnsi="Arial" w:cs="Arial"/>
          <w:b/>
          <w:color w:val="1F497D" w:themeColor="text2"/>
          <w:sz w:val="20"/>
          <w:szCs w:val="20"/>
        </w:rPr>
      </w:pPr>
    </w:p>
    <w:sectPr w:rsidR="00EA7D59" w:rsidRPr="00EF55D6" w:rsidSect="00F33C27">
      <w:headerReference w:type="default" r:id="rId8"/>
      <w:footerReference w:type="default" r:id="rId9"/>
      <w:headerReference w:type="first" r:id="rId10"/>
      <w:footerReference w:type="first" r:id="rId11"/>
      <w:pgSz w:w="16838" w:h="11906" w:orient="landscape"/>
      <w:pgMar w:top="1701" w:right="1815" w:bottom="851" w:left="1276"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A2" w:rsidRDefault="003614A2" w:rsidP="006D6245">
      <w:r>
        <w:separator/>
      </w:r>
    </w:p>
  </w:endnote>
  <w:endnote w:type="continuationSeparator" w:id="0">
    <w:p w:rsidR="003614A2" w:rsidRDefault="003614A2"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27" w:rsidRDefault="00F33C27" w:rsidP="00F33C27">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rsidR="002A5526" w:rsidRPr="00F33C27" w:rsidRDefault="00F33C27" w:rsidP="00F33C27">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8" w:rsidRDefault="002B7CA8">
    <w:pPr>
      <w:pStyle w:val="Footer"/>
      <w:rPr>
        <w:rFonts w:ascii="Arial" w:hAnsi="Arial" w:cs="Arial"/>
        <w:i/>
        <w:sz w:val="20"/>
        <w:szCs w:val="20"/>
      </w:rPr>
    </w:pPr>
    <w:r w:rsidRPr="002B7CA8">
      <w:rPr>
        <w:rFonts w:ascii="Arial" w:hAnsi="Arial" w:cs="Arial"/>
        <w:i/>
        <w:sz w:val="20"/>
        <w:szCs w:val="20"/>
      </w:rPr>
      <w:t>WSA/</w:t>
    </w:r>
    <w:r w:rsidR="00CC35B0">
      <w:rPr>
        <w:rFonts w:ascii="Arial" w:hAnsi="Arial" w:cs="Arial"/>
        <w:i/>
        <w:sz w:val="20"/>
        <w:szCs w:val="20"/>
      </w:rPr>
      <w:t>May</w:t>
    </w:r>
    <w:r w:rsidRPr="002B7CA8">
      <w:rPr>
        <w:rFonts w:ascii="Arial" w:hAnsi="Arial" w:cs="Arial"/>
        <w:i/>
        <w:sz w:val="20"/>
        <w:szCs w:val="20"/>
      </w:rPr>
      <w:t xml:space="preserve"> 2015</w:t>
    </w:r>
  </w:p>
  <w:p w:rsidR="008F0E64" w:rsidRPr="008F0E64" w:rsidRDefault="008F0E64">
    <w:pPr>
      <w:pStyle w:val="Footer"/>
      <w:rPr>
        <w:rFonts w:ascii="Arial" w:hAnsi="Arial" w:cs="Arial"/>
        <w:sz w:val="20"/>
        <w:szCs w:val="20"/>
      </w:rPr>
    </w:pPr>
    <w:r w:rsidRPr="008F0E64">
      <w:rPr>
        <w:rFonts w:ascii="Arial" w:hAnsi="Arial" w:cs="Arial"/>
        <w:sz w:val="20"/>
        <w:szCs w:val="20"/>
      </w:rPr>
      <w:t xml:space="preserve">Page 1 of </w:t>
    </w:r>
    <w:r w:rsidR="0063373D">
      <w:rPr>
        <w:rFonts w:ascii="Arial" w:hAnsi="Arial" w:cs="Arial"/>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A2" w:rsidRDefault="003614A2" w:rsidP="006D6245">
      <w:r>
        <w:separator/>
      </w:r>
    </w:p>
  </w:footnote>
  <w:footnote w:type="continuationSeparator" w:id="0">
    <w:p w:rsidR="003614A2" w:rsidRDefault="003614A2"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D9" w:rsidRPr="002A0193" w:rsidRDefault="00BF5D52" w:rsidP="00F33C27">
    <w:pPr>
      <w:pStyle w:val="Header"/>
      <w:tabs>
        <w:tab w:val="clear" w:pos="8306"/>
      </w:tabs>
      <w:ind w:right="-1815"/>
    </w:pPr>
    <w:r>
      <w:rPr>
        <w:noProof/>
      </w:rPr>
      <w:drawing>
        <wp:anchor distT="0" distB="0" distL="114300" distR="114300" simplePos="0" relativeHeight="251658240" behindDoc="1" locked="0" layoutInCell="1" allowOverlap="1" wp14:anchorId="71E8DF21" wp14:editId="0DC4F891">
          <wp:simplePos x="0" y="0"/>
          <wp:positionH relativeFrom="column">
            <wp:posOffset>8209915</wp:posOffset>
          </wp:positionH>
          <wp:positionV relativeFrom="paragraph">
            <wp:posOffset>95250</wp:posOffset>
          </wp:positionV>
          <wp:extent cx="1395095" cy="930910"/>
          <wp:effectExtent l="0" t="0" r="0" b="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27" w:rsidRPr="00F33C27">
      <w:rPr>
        <w:rFonts w:asciiTheme="minorHAnsi" w:hAnsiTheme="minorHAnsi" w:cstheme="minorHAnsi"/>
        <w:sz w:val="22"/>
        <w:szCs w:val="22"/>
      </w:rPr>
      <w:t>Template Document</w:t>
    </w:r>
    <w:r w:rsidR="00F33C27">
      <w:rPr>
        <w:rFonts w:asciiTheme="minorHAnsi" w:hAnsiTheme="minorHAnsi" w:cstheme="minorHAns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8" w:rsidRDefault="0017512F" w:rsidP="00F65F09">
    <w:pPr>
      <w:pStyle w:val="Header"/>
      <w:ind w:right="-1815"/>
      <w:jc w:val="right"/>
    </w:pPr>
    <w:r>
      <w:rPr>
        <w:rFonts w:ascii="Arial" w:hAnsi="Arial" w:cs="Arial"/>
        <w:noProof/>
      </w:rPr>
      <w:drawing>
        <wp:inline distT="0" distB="0" distL="0" distR="0" wp14:anchorId="2E90A58C" wp14:editId="7E2BAA6C">
          <wp:extent cx="1695450" cy="1083310"/>
          <wp:effectExtent l="0" t="0" r="0" b="0"/>
          <wp:docPr id="12" name="Picture 12" descr="http://www.welshsports.org.uk/data/newsPic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shsports.org.uk/data/newsPics/3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07" cy="10836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7B60E24"/>
    <w:multiLevelType w:val="hybridMultilevel"/>
    <w:tmpl w:val="60B21E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8">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43B2D95"/>
    <w:multiLevelType w:val="hybridMultilevel"/>
    <w:tmpl w:val="BB5E7FC4"/>
    <w:lvl w:ilvl="0" w:tplc="3DC88F9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C96E2D"/>
    <w:multiLevelType w:val="hybridMultilevel"/>
    <w:tmpl w:val="29029D04"/>
    <w:lvl w:ilvl="0" w:tplc="3DC88F9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6">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9C6AA5"/>
    <w:multiLevelType w:val="hybridMultilevel"/>
    <w:tmpl w:val="1224696C"/>
    <w:lvl w:ilvl="0" w:tplc="0809000D">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29A3E83"/>
    <w:multiLevelType w:val="hybridMultilevel"/>
    <w:tmpl w:val="EBF6FFF2"/>
    <w:lvl w:ilvl="0" w:tplc="3DC88F9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780372"/>
    <w:multiLevelType w:val="hybridMultilevel"/>
    <w:tmpl w:val="CCC4F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8"/>
  </w:num>
  <w:num w:numId="3">
    <w:abstractNumId w:val="6"/>
  </w:num>
  <w:num w:numId="4">
    <w:abstractNumId w:val="22"/>
  </w:num>
  <w:num w:numId="5">
    <w:abstractNumId w:val="15"/>
  </w:num>
  <w:num w:numId="6">
    <w:abstractNumId w:val="7"/>
  </w:num>
  <w:num w:numId="7">
    <w:abstractNumId w:val="11"/>
  </w:num>
  <w:num w:numId="8">
    <w:abstractNumId w:val="14"/>
  </w:num>
  <w:num w:numId="9">
    <w:abstractNumId w:val="16"/>
  </w:num>
  <w:num w:numId="10">
    <w:abstractNumId w:val="25"/>
  </w:num>
  <w:num w:numId="11">
    <w:abstractNumId w:val="5"/>
  </w:num>
  <w:num w:numId="12">
    <w:abstractNumId w:val="19"/>
  </w:num>
  <w:num w:numId="13">
    <w:abstractNumId w:val="10"/>
  </w:num>
  <w:num w:numId="14">
    <w:abstractNumId w:val="9"/>
  </w:num>
  <w:num w:numId="15">
    <w:abstractNumId w:val="21"/>
  </w:num>
  <w:num w:numId="16">
    <w:abstractNumId w:val="17"/>
  </w:num>
  <w:num w:numId="17">
    <w:abstractNumId w:val="0"/>
  </w:num>
  <w:num w:numId="18">
    <w:abstractNumId w:val="1"/>
  </w:num>
  <w:num w:numId="19">
    <w:abstractNumId w:val="2"/>
  </w:num>
  <w:num w:numId="20">
    <w:abstractNumId w:val="3"/>
  </w:num>
  <w:num w:numId="21">
    <w:abstractNumId w:val="20"/>
  </w:num>
  <w:num w:numId="22">
    <w:abstractNumId w:val="4"/>
  </w:num>
  <w:num w:numId="23">
    <w:abstractNumId w:val="13"/>
  </w:num>
  <w:num w:numId="24">
    <w:abstractNumId w:val="1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52038"/>
    <w:rsid w:val="00013CD2"/>
    <w:rsid w:val="000C3DD2"/>
    <w:rsid w:val="00100862"/>
    <w:rsid w:val="00131F3E"/>
    <w:rsid w:val="0017512F"/>
    <w:rsid w:val="00184EA5"/>
    <w:rsid w:val="001F2E3F"/>
    <w:rsid w:val="00225479"/>
    <w:rsid w:val="00252038"/>
    <w:rsid w:val="002542AB"/>
    <w:rsid w:val="00297B5A"/>
    <w:rsid w:val="002A0193"/>
    <w:rsid w:val="002B7CA8"/>
    <w:rsid w:val="002D6836"/>
    <w:rsid w:val="003211EF"/>
    <w:rsid w:val="003519D5"/>
    <w:rsid w:val="003614A2"/>
    <w:rsid w:val="00362CE1"/>
    <w:rsid w:val="003E4934"/>
    <w:rsid w:val="00404DC8"/>
    <w:rsid w:val="0041432F"/>
    <w:rsid w:val="00431888"/>
    <w:rsid w:val="00462079"/>
    <w:rsid w:val="00494164"/>
    <w:rsid w:val="004B0E47"/>
    <w:rsid w:val="005014B9"/>
    <w:rsid w:val="00524482"/>
    <w:rsid w:val="00524FB7"/>
    <w:rsid w:val="00542568"/>
    <w:rsid w:val="0055453A"/>
    <w:rsid w:val="005849BA"/>
    <w:rsid w:val="00591110"/>
    <w:rsid w:val="005B610A"/>
    <w:rsid w:val="005E2075"/>
    <w:rsid w:val="005F265B"/>
    <w:rsid w:val="0063373D"/>
    <w:rsid w:val="006836CF"/>
    <w:rsid w:val="006D6245"/>
    <w:rsid w:val="006E01C9"/>
    <w:rsid w:val="00714CDC"/>
    <w:rsid w:val="00774AE9"/>
    <w:rsid w:val="00781BB1"/>
    <w:rsid w:val="007F714A"/>
    <w:rsid w:val="007F7F5D"/>
    <w:rsid w:val="0082481A"/>
    <w:rsid w:val="0083763E"/>
    <w:rsid w:val="00854956"/>
    <w:rsid w:val="008B20D9"/>
    <w:rsid w:val="008C6989"/>
    <w:rsid w:val="008F0E64"/>
    <w:rsid w:val="009101ED"/>
    <w:rsid w:val="00921F5E"/>
    <w:rsid w:val="00951723"/>
    <w:rsid w:val="0099317F"/>
    <w:rsid w:val="009B1FCB"/>
    <w:rsid w:val="009E7825"/>
    <w:rsid w:val="009E78AB"/>
    <w:rsid w:val="009F2A05"/>
    <w:rsid w:val="00A157A7"/>
    <w:rsid w:val="00A343E1"/>
    <w:rsid w:val="00A65977"/>
    <w:rsid w:val="00A912B3"/>
    <w:rsid w:val="00AC27A1"/>
    <w:rsid w:val="00AC2B86"/>
    <w:rsid w:val="00AF488E"/>
    <w:rsid w:val="00B12724"/>
    <w:rsid w:val="00B16001"/>
    <w:rsid w:val="00B33891"/>
    <w:rsid w:val="00B864AC"/>
    <w:rsid w:val="00BC5B4C"/>
    <w:rsid w:val="00BD01AC"/>
    <w:rsid w:val="00BE76D3"/>
    <w:rsid w:val="00BF26BA"/>
    <w:rsid w:val="00BF5D52"/>
    <w:rsid w:val="00C051DD"/>
    <w:rsid w:val="00C672D0"/>
    <w:rsid w:val="00CB0C86"/>
    <w:rsid w:val="00CC35B0"/>
    <w:rsid w:val="00CC3EA8"/>
    <w:rsid w:val="00CE50FD"/>
    <w:rsid w:val="00D37F3F"/>
    <w:rsid w:val="00D40239"/>
    <w:rsid w:val="00D92A45"/>
    <w:rsid w:val="00DC7C4B"/>
    <w:rsid w:val="00DD5299"/>
    <w:rsid w:val="00E01D04"/>
    <w:rsid w:val="00E272D7"/>
    <w:rsid w:val="00E537B8"/>
    <w:rsid w:val="00E613D2"/>
    <w:rsid w:val="00E90D51"/>
    <w:rsid w:val="00EA7D59"/>
    <w:rsid w:val="00EF2D93"/>
    <w:rsid w:val="00EF55D6"/>
    <w:rsid w:val="00F0628B"/>
    <w:rsid w:val="00F2643A"/>
    <w:rsid w:val="00F33C27"/>
    <w:rsid w:val="00F4381E"/>
    <w:rsid w:val="00F65F09"/>
    <w:rsid w:val="00F67EBD"/>
    <w:rsid w:val="00F7142D"/>
    <w:rsid w:val="00FA1426"/>
    <w:rsid w:val="00FA48EE"/>
    <w:rsid w:val="00FA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3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paragraph" w:styleId="BalloonText">
    <w:name w:val="Balloon Text"/>
    <w:basedOn w:val="Normal"/>
    <w:link w:val="BalloonTextChar"/>
    <w:uiPriority w:val="99"/>
    <w:semiHidden/>
    <w:unhideWhenUsed/>
    <w:rsid w:val="00F33C27"/>
    <w:rPr>
      <w:rFonts w:ascii="Tahoma" w:hAnsi="Tahoma" w:cs="Tahoma"/>
      <w:sz w:val="16"/>
      <w:szCs w:val="16"/>
    </w:rPr>
  </w:style>
  <w:style w:type="character" w:customStyle="1" w:styleId="BalloonTextChar">
    <w:name w:val="Balloon Text Char"/>
    <w:basedOn w:val="DefaultParagraphFont"/>
    <w:link w:val="BalloonText"/>
    <w:uiPriority w:val="99"/>
    <w:semiHidden/>
    <w:rsid w:val="00F33C27"/>
    <w:rPr>
      <w:rFonts w:ascii="Tahoma" w:eastAsia="Times New Roman" w:hAnsi="Tahoma" w:cs="Tahoma"/>
      <w:sz w:val="16"/>
      <w:szCs w:val="16"/>
      <w:lang w:eastAsia="en-GB"/>
    </w:rPr>
  </w:style>
  <w:style w:type="paragraph" w:styleId="NormalWeb">
    <w:name w:val="Normal (Web)"/>
    <w:basedOn w:val="Normal"/>
    <w:uiPriority w:val="99"/>
    <w:unhideWhenUsed/>
    <w:rsid w:val="00F33C27"/>
    <w:pPr>
      <w:spacing w:before="100" w:beforeAutospacing="1" w:after="100" w:afterAutospacing="1"/>
    </w:pPr>
  </w:style>
  <w:style w:type="character" w:styleId="Emphasis">
    <w:name w:val="Emphasis"/>
    <w:basedOn w:val="DefaultParagraphFont"/>
    <w:uiPriority w:val="20"/>
    <w:qFormat/>
    <w:rsid w:val="00F33C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31</cp:revision>
  <dcterms:created xsi:type="dcterms:W3CDTF">2015-06-01T13:11:00Z</dcterms:created>
  <dcterms:modified xsi:type="dcterms:W3CDTF">2016-04-26T11:57:00Z</dcterms:modified>
</cp:coreProperties>
</file>